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3254C" w14:textId="77777777" w:rsidR="000D50E8" w:rsidRDefault="000D50E8" w:rsidP="000D50E8">
      <w:pPr>
        <w:spacing w:line="240" w:lineRule="auto"/>
        <w:jc w:val="both"/>
        <w:rPr>
          <w:rFonts w:ascii="Calibri Light" w:hAnsi="Calibri Light"/>
          <w:sz w:val="22"/>
          <w:szCs w:val="22"/>
        </w:rPr>
      </w:pPr>
      <w:r w:rsidRPr="000D50E8">
        <w:rPr>
          <w:rFonts w:ascii="Calibri Light" w:hAnsi="Calibri Light" w:cs="Calibri Light"/>
          <w:b/>
          <w:bCs/>
          <w:color w:val="000000"/>
          <w:sz w:val="22"/>
          <w:szCs w:val="22"/>
        </w:rPr>
        <w:t>Gáyor Tibor (1929)</w:t>
      </w:r>
      <w:r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Pr="00856D04">
        <w:rPr>
          <w:rFonts w:ascii="Calibri Light" w:hAnsi="Calibri Light" w:cs="Calibri Light"/>
          <w:color w:val="000000"/>
          <w:sz w:val="22"/>
          <w:szCs w:val="22"/>
        </w:rPr>
        <w:t>1951-ben a Műegyetemen szerez építész diplomát, majd 1956-ban Bécsbe emigrál, építészként dolgozik. Az 1960-as évek elejétől kezdve foglalkozik képzőművészettel, munkáiban megjelenik az építészeti gondolkodás, a kötött formák és számítások alkalmazása.</w:t>
      </w:r>
    </w:p>
    <w:p w14:paraId="0B7AC4B5" w14:textId="7FD8FD09" w:rsidR="000D50E8" w:rsidRDefault="000D50E8" w:rsidP="000D50E8">
      <w:pPr>
        <w:spacing w:line="24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Gáyor Tibor</w:t>
      </w:r>
      <w:r w:rsidRPr="00B80BA0">
        <w:rPr>
          <w:rFonts w:ascii="Calibri Light" w:hAnsi="Calibri Light"/>
          <w:sz w:val="22"/>
          <w:szCs w:val="22"/>
        </w:rPr>
        <w:t xml:space="preserve"> most értékelt alkotásai a jelenlegi hazai </w:t>
      </w:r>
      <w:r>
        <w:rPr>
          <w:rFonts w:ascii="Calibri Light" w:hAnsi="Calibri Light"/>
          <w:sz w:val="22"/>
          <w:szCs w:val="22"/>
        </w:rPr>
        <w:t xml:space="preserve">és a nemzetközi </w:t>
      </w:r>
      <w:r w:rsidRPr="00B80BA0">
        <w:rPr>
          <w:rFonts w:ascii="Calibri Light" w:hAnsi="Calibri Light"/>
          <w:sz w:val="22"/>
          <w:szCs w:val="22"/>
        </w:rPr>
        <w:t>műtárg</w:t>
      </w:r>
      <w:r>
        <w:rPr>
          <w:rFonts w:ascii="Calibri Light" w:hAnsi="Calibri Light"/>
          <w:sz w:val="22"/>
          <w:szCs w:val="22"/>
        </w:rPr>
        <w:t>ypiac egyik legkeresettebb időszakából,</w:t>
      </w:r>
      <w:r w:rsidRPr="00B80BA0">
        <w:rPr>
          <w:rFonts w:ascii="Calibri Light" w:hAnsi="Calibri Light"/>
          <w:sz w:val="22"/>
          <w:szCs w:val="22"/>
        </w:rPr>
        <w:t xml:space="preserve"> a</w:t>
      </w:r>
      <w:r>
        <w:rPr>
          <w:rFonts w:ascii="Calibri Light" w:hAnsi="Calibri Light"/>
          <w:sz w:val="22"/>
          <w:szCs w:val="22"/>
        </w:rPr>
        <w:t xml:space="preserve"> klasszikus modern időszakból, a</w:t>
      </w:r>
      <w:r w:rsidRPr="00B80BA0">
        <w:rPr>
          <w:rFonts w:ascii="Calibri Light" w:hAnsi="Calibri Light"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 xml:space="preserve">’70-es </w:t>
      </w:r>
      <w:r w:rsidRPr="00B80BA0">
        <w:rPr>
          <w:rFonts w:ascii="Calibri Light" w:hAnsi="Calibri Light"/>
          <w:sz w:val="22"/>
          <w:szCs w:val="22"/>
        </w:rPr>
        <w:t xml:space="preserve">évekből származnak. A művek mindegyike </w:t>
      </w:r>
      <w:r>
        <w:rPr>
          <w:rFonts w:ascii="Calibri Light" w:hAnsi="Calibri Light"/>
          <w:sz w:val="22"/>
          <w:szCs w:val="22"/>
        </w:rPr>
        <w:t>az életmű legmagasabbra értékelt periódusából a hetvenes évek elejéről és közepéről származnak. Gáyor 1972-től induló hajtástruktúrák festői programjába illeszkedő alkotások az életmű legjelentősebb programjának korai, programindító darabjai. Közgyűjteményi színvonalú alkotások, amelyek</w:t>
      </w:r>
      <w:r w:rsidRPr="00B80BA0">
        <w:rPr>
          <w:rFonts w:ascii="Calibri Light" w:hAnsi="Calibri Light"/>
          <w:sz w:val="22"/>
          <w:szCs w:val="22"/>
        </w:rPr>
        <w:t xml:space="preserve"> a magyar festészettörténet modernkori fejezetében kiemelkedő helyet </w:t>
      </w:r>
      <w:r w:rsidRPr="0024404E">
        <w:rPr>
          <w:rFonts w:ascii="Calibri Light" w:hAnsi="Calibri Light"/>
          <w:sz w:val="22"/>
          <w:szCs w:val="22"/>
        </w:rPr>
        <w:t xml:space="preserve">foglalnak el. </w:t>
      </w:r>
      <w:r>
        <w:rPr>
          <w:rFonts w:asciiTheme="majorHAnsi" w:hAnsiTheme="majorHAnsi" w:cstheme="majorHAnsi"/>
          <w:sz w:val="22"/>
          <w:szCs w:val="22"/>
          <w:lang w:val="cs-CZ"/>
        </w:rPr>
        <w:t>Így</w:t>
      </w:r>
      <w:r w:rsidRPr="003650E4">
        <w:rPr>
          <w:rFonts w:asciiTheme="majorHAnsi" w:hAnsiTheme="majorHAnsi" w:cstheme="majorHAnsi"/>
          <w:sz w:val="22"/>
          <w:szCs w:val="22"/>
          <w:lang w:val="cs-CZ"/>
        </w:rPr>
        <w:t xml:space="preserve"> elhelyezve </w:t>
      </w:r>
      <w:r>
        <w:rPr>
          <w:rFonts w:asciiTheme="majorHAnsi" w:hAnsiTheme="majorHAnsi" w:cstheme="majorHAnsi"/>
          <w:sz w:val="22"/>
          <w:szCs w:val="22"/>
          <w:lang w:val="cs-CZ"/>
        </w:rPr>
        <w:t>Gáyor</w:t>
      </w:r>
      <w:r w:rsidRPr="003650E4">
        <w:rPr>
          <w:rFonts w:asciiTheme="majorHAnsi" w:hAnsiTheme="majorHAnsi" w:cstheme="majorHAnsi"/>
          <w:sz w:val="22"/>
          <w:szCs w:val="22"/>
          <w:lang w:val="cs-CZ"/>
        </w:rPr>
        <w:t xml:space="preserve"> művészetét a háború utáni magyar művészet arányrendszer</w:t>
      </w:r>
      <w:r>
        <w:rPr>
          <w:rFonts w:asciiTheme="majorHAnsi" w:hAnsiTheme="majorHAnsi" w:cstheme="majorHAnsi"/>
          <w:sz w:val="22"/>
          <w:szCs w:val="22"/>
          <w:lang w:val="cs-CZ"/>
        </w:rPr>
        <w:t>é</w:t>
      </w:r>
      <w:r w:rsidRPr="003650E4">
        <w:rPr>
          <w:rFonts w:asciiTheme="majorHAnsi" w:hAnsiTheme="majorHAnsi" w:cstheme="majorHAnsi"/>
          <w:sz w:val="22"/>
          <w:szCs w:val="22"/>
          <w:lang w:val="cs-CZ"/>
        </w:rPr>
        <w:t>ben, egyértelműen a legfontosabb háború utáni művészeink között van a helye.</w:t>
      </w:r>
      <w:r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r>
        <w:rPr>
          <w:rFonts w:ascii="Calibri Light" w:hAnsi="Calibri Light"/>
          <w:sz w:val="22"/>
          <w:szCs w:val="22"/>
        </w:rPr>
        <w:t>Gáyor Tibor alkotásai</w:t>
      </w:r>
      <w:r w:rsidRPr="00B80BA0">
        <w:rPr>
          <w:rFonts w:ascii="Calibri Light" w:hAnsi="Calibri Light"/>
          <w:sz w:val="22"/>
          <w:szCs w:val="22"/>
        </w:rPr>
        <w:t xml:space="preserve"> nemzetközi kitekintésben számos kapcsolódási ponttal köti</w:t>
      </w:r>
      <w:r>
        <w:rPr>
          <w:rFonts w:ascii="Calibri Light" w:hAnsi="Calibri Light"/>
          <w:sz w:val="22"/>
          <w:szCs w:val="22"/>
        </w:rPr>
        <w:t>k</w:t>
      </w:r>
      <w:r w:rsidRPr="00B80BA0">
        <w:rPr>
          <w:rFonts w:ascii="Calibri Light" w:hAnsi="Calibri Light"/>
          <w:sz w:val="22"/>
          <w:szCs w:val="22"/>
        </w:rPr>
        <w:t xml:space="preserve"> össze a hazai és európai festészeti tendenciákat, </w:t>
      </w:r>
      <w:r>
        <w:rPr>
          <w:rFonts w:ascii="Calibri Light" w:hAnsi="Calibri Light"/>
          <w:sz w:val="22"/>
          <w:szCs w:val="22"/>
        </w:rPr>
        <w:t xml:space="preserve">és a </w:t>
      </w:r>
      <w:r w:rsidRPr="00B80BA0">
        <w:rPr>
          <w:rFonts w:ascii="Calibri Light" w:hAnsi="Calibri Light"/>
          <w:sz w:val="22"/>
          <w:szCs w:val="22"/>
        </w:rPr>
        <w:t xml:space="preserve">műgyűjtési trendeket. </w:t>
      </w:r>
      <w:r>
        <w:rPr>
          <w:rFonts w:ascii="Calibri Light" w:hAnsi="Calibri Light"/>
          <w:sz w:val="22"/>
          <w:szCs w:val="22"/>
        </w:rPr>
        <w:t>Emigrálását követően a Bécs-Budapest tengelyen kifejtett művészetszervező munkája ma felbecsülhetetlen értékű a honi neoavantgárd irányzatok nemzetközi elismertetésében, megismertetésében.</w:t>
      </w:r>
    </w:p>
    <w:tbl>
      <w:tblPr>
        <w:tblW w:w="9005" w:type="dxa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"/>
        <w:gridCol w:w="1942"/>
        <w:gridCol w:w="2126"/>
        <w:gridCol w:w="2126"/>
        <w:gridCol w:w="2343"/>
      </w:tblGrid>
      <w:tr w:rsidR="000D50E8" w:rsidRPr="00FE4F27" w14:paraId="7BE4191B" w14:textId="77777777" w:rsidTr="009E1C62">
        <w:trPr>
          <w:trHeight w:val="42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25E66C" w14:textId="77777777" w:rsidR="000D50E8" w:rsidRPr="00FE4F27" w:rsidRDefault="000D50E8" w:rsidP="00E842E2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05908E" w14:textId="77777777" w:rsidR="000D50E8" w:rsidRPr="00FE4F27" w:rsidRDefault="000D50E8" w:rsidP="00E842E2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MŰALKOTÁS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48770D3" w14:textId="77777777" w:rsidR="000D50E8" w:rsidRPr="00FE4F27" w:rsidRDefault="000D50E8" w:rsidP="00E842E2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CÍM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00354F" w14:textId="77777777" w:rsidR="000D50E8" w:rsidRPr="00FE4F27" w:rsidRDefault="000D50E8" w:rsidP="00E842E2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TECHNIKA</w:t>
            </w:r>
            <w:r>
              <w:rPr>
                <w:b/>
                <w:bCs/>
                <w:color w:val="FFFFFF"/>
                <w:sz w:val="22"/>
                <w:szCs w:val="22"/>
                <w:lang w:eastAsia="hu-HU"/>
              </w:rPr>
              <w:t xml:space="preserve">, </w:t>
            </w:r>
            <w:r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MÉRET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209C554" w14:textId="77777777" w:rsidR="000D50E8" w:rsidRPr="00FE4F27" w:rsidRDefault="000D50E8" w:rsidP="00E842E2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>
              <w:rPr>
                <w:b/>
                <w:bCs/>
                <w:color w:val="FFFFFF"/>
                <w:sz w:val="22"/>
                <w:szCs w:val="22"/>
                <w:lang w:eastAsia="hu-HU"/>
              </w:rPr>
              <w:t>JELZET</w:t>
            </w:r>
          </w:p>
        </w:tc>
      </w:tr>
      <w:tr w:rsidR="000D50E8" w:rsidRPr="00C26BF7" w14:paraId="61FF99C5" w14:textId="77777777" w:rsidTr="009E1C62">
        <w:trPr>
          <w:trHeight w:val="1729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08BB" w14:textId="77777777" w:rsidR="000D50E8" w:rsidRPr="00FE4F27" w:rsidRDefault="000D50E8" w:rsidP="00E842E2">
            <w:pPr>
              <w:suppressAutoHyphens w:val="0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FEBBD" w14:textId="77777777" w:rsidR="000D50E8" w:rsidRPr="00FE4F27" w:rsidRDefault="000D50E8" w:rsidP="00E842E2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29602F">
              <w:rPr>
                <w:rFonts w:cs="Calibri"/>
                <w:noProof/>
                <w:color w:val="4472C4" w:themeColor="accent1"/>
                <w:bdr w:val="none" w:sz="0" w:space="0" w:color="auto" w:frame="1"/>
                <w:lang w:eastAsia="hu-HU"/>
              </w:rPr>
              <w:drawing>
                <wp:inline distT="0" distB="0" distL="0" distR="0" wp14:anchorId="4E92C8F0" wp14:editId="18FE75A2">
                  <wp:extent cx="895350" cy="1086589"/>
                  <wp:effectExtent l="0" t="0" r="0" b="0"/>
                  <wp:docPr id="4" name="Kép 4" descr="24 GT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4 GT4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484" cy="1096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38A99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Hajtás 7. GT473 – 1972.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900BA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 w:themeColor="text1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akril, papír</w:t>
            </w:r>
          </w:p>
          <w:p w14:paraId="1F7D9DB0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60 x 49,6 cm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732AB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  <w:spacing w:val="-4"/>
              </w:rPr>
              <w:t>Jelezve jobbra lent: Gáyor 72</w:t>
            </w:r>
          </w:p>
        </w:tc>
      </w:tr>
      <w:tr w:rsidR="000D50E8" w:rsidRPr="00C26BF7" w14:paraId="482DB882" w14:textId="77777777" w:rsidTr="009E1C62">
        <w:trPr>
          <w:trHeight w:val="1699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F7A1" w14:textId="77777777" w:rsidR="000D50E8" w:rsidRPr="00FE4F27" w:rsidRDefault="000D50E8" w:rsidP="00E842E2">
            <w:pPr>
              <w:suppressAutoHyphens w:val="0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AA5E5" w14:textId="77777777" w:rsidR="000D50E8" w:rsidRPr="00FE4F27" w:rsidRDefault="000D50E8" w:rsidP="00E842E2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29602F">
              <w:rPr>
                <w:rFonts w:cs="Calibri"/>
                <w:noProof/>
                <w:color w:val="4472C4" w:themeColor="accent1"/>
                <w:bdr w:val="none" w:sz="0" w:space="0" w:color="auto" w:frame="1"/>
                <w:lang w:eastAsia="hu-HU"/>
              </w:rPr>
              <w:drawing>
                <wp:inline distT="0" distB="0" distL="0" distR="0" wp14:anchorId="00B41EDC" wp14:editId="2FCB1FE4">
                  <wp:extent cx="896418" cy="1098550"/>
                  <wp:effectExtent l="0" t="0" r="0" b="6350"/>
                  <wp:docPr id="14" name="Kép 14" descr="23 GT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3 GT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78" cy="1109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B03D4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Hajtás 6., GT472 – 1972.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EBA5B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 w:themeColor="text1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akril, papír</w:t>
            </w:r>
          </w:p>
          <w:p w14:paraId="444FDC79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60 x 49,8 cm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9D644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  <w:spacing w:val="-4"/>
              </w:rPr>
              <w:t>Jelezve jobbra lent: Gáyor 72</w:t>
            </w:r>
          </w:p>
        </w:tc>
      </w:tr>
      <w:tr w:rsidR="000D50E8" w:rsidRPr="00C26BF7" w14:paraId="369298AC" w14:textId="77777777" w:rsidTr="009E1C62">
        <w:trPr>
          <w:trHeight w:val="149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29D9" w14:textId="77777777" w:rsidR="000D50E8" w:rsidRPr="00FE4F27" w:rsidRDefault="000D50E8" w:rsidP="00E842E2">
            <w:pPr>
              <w:suppressAutoHyphens w:val="0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E1C68" w14:textId="77777777" w:rsidR="000D50E8" w:rsidRPr="00FE4F27" w:rsidRDefault="000D50E8" w:rsidP="00E842E2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29602F">
              <w:rPr>
                <w:rFonts w:cs="Calibri"/>
                <w:noProof/>
                <w:color w:val="4472C4" w:themeColor="accent1"/>
                <w:bdr w:val="none" w:sz="0" w:space="0" w:color="auto" w:frame="1"/>
                <w:lang w:eastAsia="hu-HU"/>
              </w:rPr>
              <w:drawing>
                <wp:inline distT="0" distB="0" distL="0" distR="0" wp14:anchorId="29ACDE7E" wp14:editId="2CB88F88">
                  <wp:extent cx="990600" cy="990600"/>
                  <wp:effectExtent l="0" t="0" r="0" b="0"/>
                  <wp:docPr id="15" name="Kép 15" descr="12 GT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12 GT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052" cy="993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4B2ED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KR1, GT512 – 1975.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0EC5D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 w:themeColor="text1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akril, vászon, fatábla</w:t>
            </w:r>
          </w:p>
          <w:p w14:paraId="63088373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100 x 100 x 5 cm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7C08C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  <w:spacing w:val="-4"/>
              </w:rPr>
              <w:t>Jelezve hátoldalon autográf felirattal: Gáyor</w:t>
            </w:r>
          </w:p>
        </w:tc>
      </w:tr>
      <w:tr w:rsidR="000D50E8" w:rsidRPr="00C26BF7" w14:paraId="1E986A04" w14:textId="77777777" w:rsidTr="009E1C62">
        <w:trPr>
          <w:trHeight w:val="148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7C1D9" w14:textId="77777777" w:rsidR="000D50E8" w:rsidRPr="00FE4F27" w:rsidRDefault="000D50E8" w:rsidP="00E842E2">
            <w:pPr>
              <w:suppressAutoHyphens w:val="0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460A0" w14:textId="77777777" w:rsidR="000D50E8" w:rsidRPr="00FE4F27" w:rsidRDefault="000D50E8" w:rsidP="00E842E2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29602F">
              <w:rPr>
                <w:rFonts w:cs="Calibri"/>
                <w:noProof/>
                <w:color w:val="4472C4" w:themeColor="accent1"/>
                <w:bdr w:val="none" w:sz="0" w:space="0" w:color="auto" w:frame="1"/>
                <w:lang w:eastAsia="hu-HU"/>
              </w:rPr>
              <w:drawing>
                <wp:inline distT="0" distB="0" distL="0" distR="0" wp14:anchorId="216BDB0E" wp14:editId="38DB2365">
                  <wp:extent cx="990600" cy="990600"/>
                  <wp:effectExtent l="0" t="0" r="0" b="0"/>
                  <wp:docPr id="5" name="Kép 5" descr="13 GT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3 GT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870" cy="99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B95D9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KR 2, GT513 – 1975.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05064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 w:themeColor="text1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akril, vászon, fatábla</w:t>
            </w:r>
          </w:p>
          <w:p w14:paraId="0A18ECC4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100 x 100 x 5 cm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C5E9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  <w:spacing w:val="-4"/>
              </w:rPr>
              <w:t>Jelezve hátoldalon autográf felirattal: T Gáyor: KR2 1975.</w:t>
            </w:r>
          </w:p>
        </w:tc>
      </w:tr>
      <w:tr w:rsidR="000D50E8" w:rsidRPr="00C26BF7" w14:paraId="4AAC49AA" w14:textId="77777777" w:rsidTr="009E1C62">
        <w:trPr>
          <w:trHeight w:val="155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E45B" w14:textId="77777777" w:rsidR="000D50E8" w:rsidRPr="00FE4F27" w:rsidRDefault="000D50E8" w:rsidP="00E842E2">
            <w:pPr>
              <w:suppressAutoHyphens w:val="0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06D26" w14:textId="77777777" w:rsidR="000D50E8" w:rsidRPr="00FE4F27" w:rsidRDefault="000D50E8" w:rsidP="00E842E2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29602F">
              <w:rPr>
                <w:rFonts w:cs="Calibri"/>
                <w:noProof/>
                <w:color w:val="4472C4" w:themeColor="accent1"/>
                <w:bdr w:val="none" w:sz="0" w:space="0" w:color="auto" w:frame="1"/>
                <w:lang w:eastAsia="hu-HU"/>
              </w:rPr>
              <w:drawing>
                <wp:inline distT="0" distB="0" distL="0" distR="0" wp14:anchorId="69C02016" wp14:editId="6EFAA48F">
                  <wp:extent cx="1002030" cy="994296"/>
                  <wp:effectExtent l="0" t="0" r="7620" b="0"/>
                  <wp:docPr id="8" name="Kép 8" descr="01 GT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01 GT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407" cy="1000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0879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Q 4/4. GT511 – 1976.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D03E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 w:themeColor="text1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akril, vászon, fatábla</w:t>
            </w:r>
          </w:p>
          <w:p w14:paraId="29869C89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130 x 130 x 7 cm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00E96" w14:textId="77777777" w:rsidR="000D50E8" w:rsidRPr="00C26BF7" w:rsidRDefault="000D50E8" w:rsidP="00E842E2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  <w:spacing w:val="-4"/>
              </w:rPr>
              <w:t>Jelezve hátoldalon autográf felirattal: Gáyor</w:t>
            </w:r>
          </w:p>
        </w:tc>
      </w:tr>
    </w:tbl>
    <w:p w14:paraId="69F6B45B" w14:textId="77777777" w:rsidR="000D50E8" w:rsidRDefault="000D50E8"/>
    <w:sectPr w:rsidR="000D5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5D"/>
    <w:rsid w:val="000D50E8"/>
    <w:rsid w:val="0014295D"/>
    <w:rsid w:val="00406A88"/>
    <w:rsid w:val="0044457B"/>
    <w:rsid w:val="009E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0FEA5"/>
  <w15:chartTrackingRefBased/>
  <w15:docId w15:val="{6D1A9308-0051-4B54-B983-A05E54906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295D"/>
    <w:pPr>
      <w:suppressAutoHyphens/>
      <w:spacing w:before="200" w:after="200" w:line="276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Vadorán Radovan</cp:lastModifiedBy>
  <cp:revision>2</cp:revision>
  <dcterms:created xsi:type="dcterms:W3CDTF">2022-07-17T20:11:00Z</dcterms:created>
  <dcterms:modified xsi:type="dcterms:W3CDTF">2022-07-17T20:29:00Z</dcterms:modified>
</cp:coreProperties>
</file>