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  <Override PartName="/word/footer1.xml" ContentType="application/vnd.openxmlformats-officedocument.wordprocessingml.footer+xml"/>
  <Override PartName="/word/charts/chart1.xml" ContentType="application/vnd.openxmlformats-officedocument.drawingml.chart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/>
    <w:p/>
    <w:p/>
    <w:p/>
    <w:p/>
    <w:p>
      <w:pPr>
        <w:jc w:val="center"/>
      </w:pPr>
      <w:r>
        <w:rPr>
          <w:color w:val="000000"/>
          <w:sz w:val="64"/>
          <w:szCs w:val="64"/>
        </w:rPr>
        <w:t xml:space="preserve">TŰZIJÁTÉK: TILTSUK, TŰRJÜK VAGY KORLÁTOZZUK?</w:t>
      </w:r>
    </w:p>
    <w:p>
      <w:pPr>
        <w:jc w:val="center"/>
      </w:pPr>
      <w:r>
        <w:rPr>
          <w:sz w:val="24"/>
          <w:szCs w:val="24"/>
        </w:rPr>
        <w:t xml:space="preserve">(1913 válaszadó)</w:t>
      </w:r>
    </w:p>
    <w:p>
      <w:r>
        <w:br w:type="page"/>
      </w:r>
    </w:p>
    <w:p>
      <w:pPr/>
      <w:r>
        <w:rPr>
          <w:sz w:val="36"/>
          <w:szCs w:val="36"/>
          <w:b w:val="1"/>
          <w:bCs w:val="1"/>
        </w:rPr>
        <w:t xml:space="preserve">Tartalomjegyzék</w:t>
      </w:r>
    </w:p>
    <w:p>
      <w:pPr>
        <w:tabs>
          <w:tab w:val="right" w:leader="dot" w:pos="9062"/>
        </w:tabs>
      </w:pPr>
      <w:r>
        <w:fldChar w:fldCharType="begin"/>
      </w:r>
      <w:r>
        <w:instrText xml:space="preserve">TOC \o 1-9 \h \z \u</w:instrText>
      </w:r>
      <w:r>
        <w:fldChar w:fldCharType="separate"/>
      </w:r>
      <w:hyperlink w:anchor="_Toc0" w:history="1">
        <w:r>
          <w:rPr>
            <w:sz w:val="24"/>
            <w:szCs w:val="24"/>
          </w:rPr>
          <w:t>Kérjük, válasszon egyet az alábbi lehetőségek közül:</w:t>
        </w:r>
        <w:r>
          <w:tab/>
        </w:r>
        <w:r>
          <w:fldChar w:fldCharType="begin"/>
        </w:r>
        <w:r>
          <w:instrText xml:space="preserve">PAGEREF 0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1" w:history="1">
        <w:r>
          <w:rPr>
            <w:sz w:val="24"/>
            <w:szCs w:val="24"/>
          </w:rPr>
          <w:t>Amennyiben a 3. válaszlehetőséget jelöte be, kérjük, javasoljon helyszín(eke)t.</w:t>
        </w:r>
        <w:r>
          <w:tab/>
        </w:r>
        <w:r>
          <w:fldChar w:fldCharType="begin"/>
        </w:r>
        <w:r>
          <w:instrText xml:space="preserve">PAGEREF 1 \h</w:instrText>
        </w:r>
        <w:r>
          <w:fldChar w:fldCharType="end"/>
        </w:r>
      </w:hyperlink>
    </w:p>
    <w:p>
      <w:r>
        <w:fldChar w:fldCharType="end"/>
      </w:r>
    </w:p>
    <w:p>
      <w:pPr>
        <w:sectPr>
          <w:footerReference w:type="default" r:id="rId7"/>
          <w:pgSz w:orient="portrait" w:w="11905.511811023622" w:h="16837.79527559055"/>
          <w:pgMar w:top="1440" w:right="1440" w:bottom="1440" w:left="1440" w:header="720" w:footer="720" w:gutter="0"/>
          <w:cols w:num="1" w:space="720"/>
        </w:sectPr>
      </w:pPr>
    </w:p>
    <w:p>
      <w:pPr>
        <w:pStyle w:val="Heading1"/>
      </w:pPr>
      <w:bookmarkStart w:id="0" w:name="_Toc0"/>
      <w:r>
        <w:t>Kérjük, válasszon egyet az alábbi lehetőségek közül:</w:t>
      </w:r>
      <w:bookmarkEnd w:id="0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Budafok-Tétény teljes területén továbbra is korlátozások nélkül használhatók legyenek a tűzijátékok, hiszen egyszer egy évben el lehet viselni.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500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26.1%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Budafok-Tétény teljes területén tiltsuk be a tűzijátékok használatát, mert rendkívüli módon zavarja az idős, beteg lakótársaink, a kisgyerekes családok vagy a félős állatok nyugalmát.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1111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58.1%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Tekintettel arra, hogy sokakat zavar, mások viszont enélkül nem éreznék teljesnek a szilveszteri ünneplést, Budafok-Tétény kijelölt részein legyenek használhatók a tűzijátékok.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302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15.8%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1913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1913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8" name="Chart8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1" w:name="_Toc1"/>
      <w:r>
        <w:t>Amennyiben a 3. válaszlehetőséget jelöte be, kérjük, javasoljon helyszín(eke)t.</w:t>
      </w:r>
      <w:bookmarkEnd w:id="1"/>
    </w:p>
    <w:tbl>
      <w:tblGrid>
        <w:gridCol w:w="11000" w:type="dxa"/>
      </w:tblGrid>
      <w:tblPr>
        <w:tblStyle w:val="TextTable"/>
      </w:tblP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Campona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Campona parkoló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Városház tér és környéke. Viszonylag könnyen megközelíthető az egész kerületből tömegközlekedéssel. Próbálok gondolkozni tűzijátékozó ággyal, talán abban is van plusz élvezet, ha egy helyen, koncentráltan látható sok tűzijáték.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Duna-part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Duna part,  budafok vagy tétény olyan részei ami még nincs teljesen beépítve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ATétényfennsík, vagy esetleg a Dunafokot lehetne kialakítani úgy a természet minél nagyobb kíméletével. Vagy a belvárosban a sziesztapontot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A házak között legyen tilos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Dunapart, önkormányzati raktàr épületek udvara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Lakóházakol távoli helyek, és idő korlátot is bevezetnek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Budafokon a játszótér alatti dunapart.
Tétényben a Kasténymúzeum alatti dunapart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Campona parkoló, Kastélypark, Városház tér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-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Dunapart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Dunafok,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Campona, Műv.ház parkoló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-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Városház tér, Piac tér, Dunapart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Savoya tér. Klauzál ház   Campona parkoló  kastély park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Budafok városközpont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Én akár a teljes tiltást is el tudom fogadni, de ha megmarad a lehetőség, akkor olyan helyszínt kell találni, ami a természettől minél távolabb van. Aki háziállatot tart annak kötelessége az állat nevelése, ebbe beletartozik a hanghatásokhoz való hozzászoktatás is. Lovak is elviselik a hangokat, ha fel vannak rá készítve (lovas rendőrök lovai) a kutyák is elviselik a hangos puffogást (vadászok kutyái), csak az felelős állattartó aki így neveli az állatát, vagy ha nem neveli legalább esélye van ilyenkor biztonságos helyre szállítani, nyugtatózni. A vadállatok esetében más a helyzet, ők nem tudnak erre felkészülni és nincs is aki felkészítse őket. Bármiféle tiltást csakis a vadonélő állatok érdekében történhet meg. Az évi 1x alkalmat minden embernek el kell viselnie. Ha nem tudunk olyan helyszínt találni ami a vadon élő állatok biztonságát szolgálja, akkor az egész kerületben lévő betiltást mellett állok. Azért nem ajánlok helyszínt, mert ez egy átlag ember nem tudja meghatározni. Szakembereket kell megkérdezni, hogy a nagyobb testű vadállatok pl.: őzek, vaddisznók és a kisebbek pl: madarak, rókák, stb mekkora zajt viselnek el. Aztán ki kell számolni egy-egy nagyobb tűzijáték milyen távolságból ad ki olyan hangot ami nem zavarja az állatokat. Ha nincs ilyen akkor marad a tiltás.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Nagytétényi kastélypark, Duna part, a Szoborparknál lévő üres területek, Budafokon Dunafoknál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campona parkoló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Valami olyan helyen,ami nem vízhangozik. Távol a növényektől,védett területektől.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Nagytétényi Szent Flórán tér</w:t>
            </w:r>
          </w:p>
        </w:tc>
      </w:tr>
      <w:tr>
        <w:trPr/>
        <w:tc>
          <w:tcPr>
            <w:tcW w:w="11000" w:type="dxa"/>
            <w:vAlign w:val="center"/>
            <w:noWrap/>
          </w:tcPr>
          <w:p>
            <w:pPr/>
            <w:r>
              <w:rPr/>
              <w:t xml:space="preserve">Amint éles lesz a kérdés teszek javaslatot. Üdv Pajin Bálint</w:t>
            </w:r>
          </w:p>
        </w:tc>
      </w:tr>
    </w:tbl>
    <w:p/>
    <w:p>
      <w:pPr/>
      <w:r>
        <w:rPr>
          <w:sz w:val="24"/>
          <w:szCs w:val="24"/>
          <w:i w:val="1"/>
          <w:iCs w:val="1"/>
        </w:rPr>
        <w:t xml:space="preserve">További 277 válasz megtekintéséhez válassza az: "Excel CSV teljes" exportálási típust.</w:t>
      </w:r>
    </w:p>
    <w:p/>
    <w:p>
      <w:pPr>
        <w:jc w:val="right"/>
      </w:pPr>
      <w:r>
        <w:rPr>
          <w:sz w:val="24"/>
          <w:szCs w:val="24"/>
          <w:b w:val="1"/>
          <w:bCs w:val="1"/>
        </w:rPr>
        <w:t xml:space="preserve">302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302</w:t>
      </w:r>
      <w:r>
        <w:rPr>
          <w:sz w:val="24"/>
          <w:szCs w:val="24"/>
        </w:rPr>
        <w:t xml:space="preserve"> válasz</w:t>
      </w:r>
    </w:p>
    <w:sectPr>
      <w:pgSz w:orient="portrait" w:w="11905.511811023622" w:h="16837.79527559055"/>
      <w:pgMar w:top="600" w:right="600" w:bottom="600" w:left="60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center"/>
    </w:pPr>
    <w:r>
      <w:fldChar w:fldCharType="begin"/>
    </w:r>
    <w:r>
      <w:rPr/>
      <w:instrText xml:space="preserve">PAGE</w:instrText>
    </w:r>
    <w:r>
      <w:fldChar w:fldCharType="separate"/>
    </w:r>
    <w: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color w:val="000000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paragraph" w:styleId="Heading1">
    <w:link w:val="Heading1Char"/>
    <w:name w:val="heading 1"/>
    <w:rPr>
      <w:sz w:val="32"/>
      <w:szCs w:val="32"/>
    </w:rPr>
  </w:style>
  <w:style w:type="table" w:customStyle="1" w:styleId="StatTable">
    <w:name w:val="StatTable"/>
    <w:uiPriority w:val="99"/>
    <w:tblPr>
      <w:tblW w:w="0" w:type="auto"/>
      <w:tblLayout w:type="autofit"/>
      <w:tblCellMar>
        <w:top w:w="150" w:type="dxa"/>
        <w:left w:w="100" w:type="dxa"/>
        <w:right w:w="100" w:type="dxa"/>
        <w:bottom w:w="0" w:type="dxa"/>
      </w:tblCellMar>
      <w:tblBorders>
        <w:top w:val="single" w:sz="1" w:color="cccccc"/>
        <w:left w:val="single" w:sz="1" w:color="cccccc"/>
        <w:right w:val="single" w:sz="1" w:color="cccccc"/>
        <w:bottom w:val="single" w:sz="1" w:color="cccccc"/>
        <w:insideH w:val="single" w:sz="1" w:color="cccccc"/>
        <w:insideV w:val="single" w:sz="1" w:color="cccccc"/>
      </w:tblBorders>
    </w:tblPr>
  </w:style>
  <w:style w:type="table" w:customStyle="1" w:styleId="TextTable">
    <w:name w:val="TextTable"/>
    <w:uiPriority w:val="99"/>
    <w:tblPr>
      <w:tblW w:w="0" w:type="auto"/>
      <w:tblLayout w:type="autofit"/>
      <w:tblCellMar>
        <w:top w:w="150" w:type="dxa"/>
        <w:left w:w="50" w:type="dxa"/>
        <w:right w:w="50" w:type="dxa"/>
        <w:bottom w:w="0" w:type="dxa"/>
      </w:tblCellMar>
      <w:tblBorders>
        <w:top w:val="single" w:sz="1" w:color="cccccc"/>
        <w:left w:val="single" w:sz="1" w:color="cccccc"/>
        <w:right w:val="single" w:sz="1" w:color="cccccc"/>
        <w:bottom w:val="single" w:sz="1" w:color="cccccc"/>
        <w:insideH w:val="single" w:sz="1" w:color="cccccc"/>
        <w:insideV w:val="single" w:sz="1" w:color="cccccc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footer" Target="footer1.xml"/><Relationship Id="rId8" Type="http://schemas.openxmlformats.org/officeDocument/2006/relationships/chart" Target="charts/chart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Kérjük, válasszon egyet az alábbi lehetőségek közül: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3"/>
              <c:pt idx="0">
                <c:v>Budafok-Tétény teljes területén ...</c:v>
              </c:pt>
              <c:pt idx="1">
                <c:v>Budafok-Tétény teljes területén ...</c:v>
              </c:pt>
              <c:pt idx="2">
                <c:v>Tekintettel arra, hogy sokakat z...</c:v>
              </c:pt>
            </c:strLit>
          </c:cat>
          <c:val>
            <c:numLit>
              <c:ptCount val="3"/>
              <c:pt idx="0">
                <c:v>500</c:v>
              </c:pt>
              <c:pt idx="1">
                <c:v>1111</c:v>
              </c:pt>
              <c:pt idx="2">
                <c:v>302</c:v>
              </c:pt>
            </c:numLit>
          </c:val>
        </c:ser>
        <c:overlap val="100"/>
      </c:pieChart>
    </c:plotArea>
  </c:chart>
  <c:spPr>
    <a:ln>
      <a:noFill/>
    </a:ln>
  </c:spPr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2026-06-10T19:28:50+02:00</dcterms:created>
  <dcterms:modified xsi:type="dcterms:W3CDTF">2026-06-10T19:28:50+02:00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