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
    <w:p/>
    <w:p/>
    <w:p/>
    <w:p>
      <w:pPr>
        <w:jc w:val="center"/>
      </w:pPr>
      <w:r>
        <w:rPr>
          <w:color w:val="000000"/>
          <w:sz w:val="64"/>
          <w:szCs w:val="64"/>
        </w:rPr>
        <w:t xml:space="preserve">Zöldfolyosó Budafok szívében</w:t>
      </w:r>
    </w:p>
    <w:p>
      <w:pPr>
        <w:jc w:val="center"/>
      </w:pPr>
      <w:r>
        <w:rPr>
          <w:sz w:val="24"/>
          <w:szCs w:val="24"/>
        </w:rPr>
        <w:t xml:space="preserve">(423 válaszadó)</w:t>
      </w:r>
    </w:p>
    <w:p>
      <w:r>
        <w:br w:type="page"/>
      </w:r>
    </w:p>
    <w:p>
      <w:pPr/>
      <w:r>
        <w:rPr>
          <w:sz w:val="36"/>
          <w:szCs w:val="36"/>
          <w:b w:val="1"/>
          <w:bCs w:val="1"/>
        </w:rPr>
        <w:t xml:space="preserve">Tartalomjegyzék</w:t>
      </w:r>
    </w:p>
    <w:p>
      <w:pPr>
        <w:tabs>
          <w:tab w:val="right" w:leader="dot" w:pos="9062"/>
        </w:tabs>
      </w:pPr>
      <w:r>
        <w:fldChar w:fldCharType="begin"/>
      </w:r>
      <w:r>
        <w:instrText xml:space="preserve">TOC \o 1-9 \h \z \u</w:instrText>
      </w:r>
      <w:r>
        <w:fldChar w:fldCharType="separate"/>
      </w:r>
      <w:hyperlink w:anchor="_Toc0" w:history="1">
        <w:r>
          <w:rPr>
            <w:sz w:val="24"/>
            <w:szCs w:val="24"/>
          </w:rPr>
          <w:t>A kerületben él?</w:t>
        </w:r>
        <w:r>
          <w:tab/>
        </w:r>
        <w:r>
          <w:fldChar w:fldCharType="begin"/>
        </w:r>
        <w:r>
          <w:instrText xml:space="preserve">PAGEREF 0 \h</w:instrText>
        </w:r>
        <w:r>
          <w:fldChar w:fldCharType="end"/>
        </w:r>
      </w:hyperlink>
    </w:p>
    <w:p>
      <w:pPr>
        <w:tabs>
          <w:tab w:val="right" w:leader="dot" w:pos="9062"/>
        </w:tabs>
      </w:pPr>
      <w:hyperlink w:anchor="_Toc1" w:history="1">
        <w:r>
          <w:rPr>
            <w:sz w:val="24"/>
            <w:szCs w:val="24"/>
          </w:rPr>
          <w:t>Milyen gyakran jár ezekben az utcákban?</w:t>
        </w:r>
        <w:r>
          <w:tab/>
        </w:r>
        <w:r>
          <w:fldChar w:fldCharType="begin"/>
        </w:r>
        <w:r>
          <w:instrText xml:space="preserve">PAGEREF 1 \h</w:instrText>
        </w:r>
        <w:r>
          <w:fldChar w:fldCharType="end"/>
        </w:r>
      </w:hyperlink>
    </w:p>
    <w:p>
      <w:pPr>
        <w:tabs>
          <w:tab w:val="right" w:leader="dot" w:pos="9062"/>
        </w:tabs>
      </w:pPr>
      <w:hyperlink w:anchor="_Toc2" w:history="1">
        <w:r>
          <w:rPr>
            <w:sz w:val="24"/>
            <w:szCs w:val="24"/>
          </w:rPr>
          <w:t>A beavatkozási területet milyen minőségben használja?</w:t>
        </w:r>
        <w:r>
          <w:tab/>
        </w:r>
        <w:r>
          <w:fldChar w:fldCharType="begin"/>
        </w:r>
        <w:r>
          <w:instrText xml:space="preserve">PAGEREF 2 \h</w:instrText>
        </w:r>
        <w:r>
          <w:fldChar w:fldCharType="end"/>
        </w:r>
      </w:hyperlink>
    </w:p>
    <w:p>
      <w:pPr>
        <w:tabs>
          <w:tab w:val="right" w:leader="dot" w:pos="9062"/>
        </w:tabs>
      </w:pPr>
      <w:hyperlink w:anchor="_Toc3" w:history="1">
        <w:r>
          <w:rPr>
            <w:sz w:val="24"/>
            <w:szCs w:val="24"/>
          </w:rPr>
          <w:t>Milyen közlekedési módot használ ezen a területen?</w:t>
        </w:r>
        <w:r>
          <w:tab/>
        </w:r>
        <w:r>
          <w:fldChar w:fldCharType="begin"/>
        </w:r>
        <w:r>
          <w:instrText xml:space="preserve">PAGEREF 3 \h</w:instrText>
        </w:r>
        <w:r>
          <w:fldChar w:fldCharType="end"/>
        </w:r>
      </w:hyperlink>
    </w:p>
    <w:p>
      <w:pPr>
        <w:tabs>
          <w:tab w:val="right" w:leader="dot" w:pos="9062"/>
        </w:tabs>
      </w:pPr>
      <w:hyperlink w:anchor="_Toc4" w:history="1">
        <w:r>
          <w:rPr>
            <w:sz w:val="24"/>
            <w:szCs w:val="24"/>
          </w:rPr>
          <w:t>Szokott-e parkolni ezen a területen, vagy a szorosan vett környékén?</w:t>
        </w:r>
        <w:r>
          <w:tab/>
        </w:r>
        <w:r>
          <w:fldChar w:fldCharType="begin"/>
        </w:r>
        <w:r>
          <w:instrText xml:space="preserve">PAGEREF 4 \h</w:instrText>
        </w:r>
        <w:r>
          <w:fldChar w:fldCharType="end"/>
        </w:r>
      </w:hyperlink>
    </w:p>
    <w:p>
      <w:pPr>
        <w:tabs>
          <w:tab w:val="right" w:leader="dot" w:pos="9062"/>
        </w:tabs>
      </w:pPr>
      <w:hyperlink w:anchor="_Toc5" w:history="1">
        <w:r>
          <w:rPr>
            <w:sz w:val="24"/>
            <w:szCs w:val="24"/>
          </w:rPr>
          <w:t>A Városház térnek a Játék utca meghosszabbításában lévő útszakasza a Fáber-villa (Városház tér 13.) előtti úttól a rendőrkapitányság gépkocsibejáratáig autómentes kialakítású lesz vízjátékkal, ülőbútorokkal, kerékpártárolókkal és sok zöldfelülettel. Ez az utcarész – a gépjárműforgalom elől lezárva, attól mentesítve - sétálóutcává, közösségi tér jellegű közterületté alakul. A rendőrség gépkocsibejárata/tüdőgondozó bejárata és a Piactér közötti útszakasz csak a célforgalom számára, zsákutca jelleggel fog működni, biztosítva az itt elhelyezkedő ingatlanok megközelíthetőségét, az elektromos töltők használatát, a szolgáltatások igénybevételét. Az autóbusz változatlanul a Városháza előtti úton jön be a Városház térre, a megállója is a jelenlegi helyén marad, de nem fordul be az említett utcára, hanem egyenesen tovább menve a Pécsi utcára kanyarodik balra, majd a piac mellett, a Mihalik Sándor utcában jön vissza a Mária Terézia utca felé, és itt is a jelenlegi megállójában áll meg.Közlekedési koncepcióterv egyszerűsített tervrajzaZöldfelületi terv egyszerűsített tervrajz - Városház tér</w:t>
        </w:r>
        <w:r>
          <w:tab/>
        </w:r>
        <w:r>
          <w:fldChar w:fldCharType="begin"/>
        </w:r>
        <w:r>
          <w:instrText xml:space="preserve">PAGEREF 5 \h</w:instrText>
        </w:r>
        <w:r>
          <w:fldChar w:fldCharType="end"/>
        </w:r>
      </w:hyperlink>
    </w:p>
    <w:p>
      <w:pPr>
        <w:tabs>
          <w:tab w:val="right" w:leader="dot" w:pos="9062"/>
        </w:tabs>
      </w:pPr>
      <w:hyperlink w:anchor="_Toc6" w:history="1">
        <w:r>
          <w:rPr>
            <w:sz w:val="24"/>
            <w:szCs w:val="24"/>
          </w:rPr>
          <w:t>Padok:Kérjük, értékelje egyenként számokkal, milyen típusú ülőbútorokat látna szívesen a területen</w:t>
        </w:r>
        <w:r>
          <w:tab/>
        </w:r>
        <w:r>
          <w:fldChar w:fldCharType="begin"/>
        </w:r>
        <w:r>
          <w:instrText xml:space="preserve">PAGEREF 6 \h</w:instrText>
        </w:r>
        <w:r>
          <w:fldChar w:fldCharType="end"/>
        </w:r>
      </w:hyperlink>
    </w:p>
    <w:p>
      <w:pPr>
        <w:tabs>
          <w:tab w:val="right" w:leader="dot" w:pos="9062"/>
        </w:tabs>
      </w:pPr>
      <w:hyperlink w:anchor="_Toc7" w:history="1">
        <w:r>
          <w:rPr>
            <w:sz w:val="24"/>
            <w:szCs w:val="24"/>
          </w:rPr>
          <w:t>Van-e konkrét ötlete, hová helyezne el bútorokat?</w:t>
        </w:r>
        <w:r>
          <w:tab/>
        </w:r>
        <w:r>
          <w:fldChar w:fldCharType="begin"/>
        </w:r>
        <w:r>
          <w:instrText xml:space="preserve">PAGEREF 7 \h</w:instrText>
        </w:r>
        <w:r>
          <w:fldChar w:fldCharType="end"/>
        </w:r>
      </w:hyperlink>
    </w:p>
    <w:p>
      <w:pPr>
        <w:tabs>
          <w:tab w:val="right" w:leader="dot" w:pos="9062"/>
        </w:tabs>
      </w:pPr>
      <w:hyperlink w:anchor="_Toc8" w:history="1">
        <w:r>
          <w:rPr>
            <w:sz w:val="24"/>
            <w:szCs w:val="24"/>
          </w:rPr>
          <w:t>Mennyire fontos Önnek, hogy minél több természetközeli, virágos jellegű évelő és díszfüves (pl. pampafű) zöldfelület legyen a területen?</w:t>
        </w:r>
        <w:r>
          <w:tab/>
        </w:r>
        <w:r>
          <w:fldChar w:fldCharType="begin"/>
        </w:r>
        <w:r>
          <w:instrText xml:space="preserve">PAGEREF 8 \h</w:instrText>
        </w:r>
        <w:r>
          <w:fldChar w:fldCharType="end"/>
        </w:r>
      </w:hyperlink>
    </w:p>
    <w:p>
      <w:pPr>
        <w:tabs>
          <w:tab w:val="right" w:leader="dot" w:pos="9062"/>
        </w:tabs>
      </w:pPr>
      <w:hyperlink w:anchor="_Toc9" w:history="1">
        <w:r>
          <w:rPr>
            <w:sz w:val="24"/>
            <w:szCs w:val="24"/>
          </w:rPr>
          <w:t>Mennyire fontos Önnek, hogy egynyári virágos zöldfelület is legyen?</w:t>
        </w:r>
        <w:r>
          <w:tab/>
        </w:r>
        <w:r>
          <w:fldChar w:fldCharType="begin"/>
        </w:r>
        <w:r>
          <w:instrText xml:space="preserve">PAGEREF 9 \h</w:instrText>
        </w:r>
        <w:r>
          <w:fldChar w:fldCharType="end"/>
        </w:r>
      </w:hyperlink>
    </w:p>
    <w:p>
      <w:pPr>
        <w:tabs>
          <w:tab w:val="right" w:leader="dot" w:pos="9062"/>
        </w:tabs>
      </w:pPr>
      <w:hyperlink w:anchor="_Toc10" w:history="1">
        <w:r>
          <w:rPr>
            <w:sz w:val="24"/>
            <w:szCs w:val="24"/>
          </w:rPr>
          <w:t>Mennyire fontos Önnek, hogy minél több szabadon használható - nem díszítő növényekkel beültetett - fűfelület legyen? (pl. ahol a gyerekek szabadon szaladgálhatnak)</w:t>
        </w:r>
        <w:r>
          <w:tab/>
        </w:r>
        <w:r>
          <w:fldChar w:fldCharType="begin"/>
        </w:r>
        <w:r>
          <w:instrText xml:space="preserve">PAGEREF 10 \h</w:instrText>
        </w:r>
        <w:r>
          <w:fldChar w:fldCharType="end"/>
        </w:r>
      </w:hyperlink>
    </w:p>
    <w:p>
      <w:pPr>
        <w:tabs>
          <w:tab w:val="right" w:leader="dot" w:pos="9062"/>
        </w:tabs>
      </w:pPr>
      <w:hyperlink w:anchor="_Toc11" w:history="1">
        <w:r>
          <w:rPr>
            <w:sz w:val="24"/>
            <w:szCs w:val="24"/>
          </w:rPr>
          <w:t>Milyen konkrét fafajokat, cserjéket vagy évelő növényeket javasolna, amelyek jól illenének ide?</w:t>
        </w:r>
        <w:r>
          <w:tab/>
        </w:r>
        <w:r>
          <w:fldChar w:fldCharType="begin"/>
        </w:r>
        <w:r>
          <w:instrText xml:space="preserve">PAGEREF 11 \h</w:instrText>
        </w:r>
        <w:r>
          <w:fldChar w:fldCharType="end"/>
        </w:r>
      </w:hyperlink>
    </w:p>
    <w:p>
      <w:pPr>
        <w:tabs>
          <w:tab w:val="right" w:leader="dot" w:pos="9062"/>
        </w:tabs>
      </w:pPr>
      <w:hyperlink w:anchor="_Toc12" w:history="1">
        <w:r>
          <w:rPr>
            <w:sz w:val="24"/>
            <w:szCs w:val="24"/>
          </w:rPr>
          <w:t>Kérjük, értékelje egyenként, hogy mennyire tartja fontosnak egy vízjáték alábbi tulajdonságait?</w:t>
        </w:r>
        <w:r>
          <w:tab/>
        </w:r>
        <w:r>
          <w:fldChar w:fldCharType="begin"/>
        </w:r>
        <w:r>
          <w:instrText xml:space="preserve">PAGEREF 12 \h</w:instrText>
        </w:r>
        <w:r>
          <w:fldChar w:fldCharType="end"/>
        </w:r>
      </w:hyperlink>
    </w:p>
    <w:p>
      <w:pPr>
        <w:tabs>
          <w:tab w:val="right" w:leader="dot" w:pos="9062"/>
        </w:tabs>
      </w:pPr>
      <w:hyperlink w:anchor="_Toc13" w:history="1">
        <w:r>
          <w:rPr>
            <w:sz w:val="24"/>
            <w:szCs w:val="24"/>
          </w:rPr>
          <w:t>Mennyire tartja fontosnak, hogy a vízjáték mellett meg lehessen pihenni, le lehessen ülni?</w:t>
        </w:r>
        <w:r>
          <w:tab/>
        </w:r>
        <w:r>
          <w:fldChar w:fldCharType="begin"/>
        </w:r>
        <w:r>
          <w:instrText xml:space="preserve">PAGEREF 13 \h</w:instrText>
        </w:r>
        <w:r>
          <w:fldChar w:fldCharType="end"/>
        </w:r>
      </w:hyperlink>
    </w:p>
    <w:p>
      <w:pPr>
        <w:tabs>
          <w:tab w:val="right" w:leader="dot" w:pos="9062"/>
        </w:tabs>
      </w:pPr>
      <w:hyperlink w:anchor="_Toc14" w:history="1">
        <w:r>
          <w:rPr>
            <w:sz w:val="24"/>
            <w:szCs w:val="24"/>
          </w:rPr>
          <w:t>Van-e olyan vízjáték, amit pozitív példaként megemlítene? Miért?</w:t>
        </w:r>
        <w:r>
          <w:tab/>
        </w:r>
        <w:r>
          <w:fldChar w:fldCharType="begin"/>
        </w:r>
        <w:r>
          <w:instrText xml:space="preserve">PAGEREF 14 \h</w:instrText>
        </w:r>
        <w:r>
          <w:fldChar w:fldCharType="end"/>
        </w:r>
      </w:hyperlink>
    </w:p>
    <w:p>
      <w:pPr>
        <w:tabs>
          <w:tab w:val="right" w:leader="dot" w:pos="9062"/>
        </w:tabs>
      </w:pPr>
      <w:hyperlink w:anchor="_Toc15" w:history="1">
        <w:r>
          <w:rPr>
            <w:sz w:val="24"/>
            <w:szCs w:val="24"/>
          </w:rPr>
          <w:t>Milyen egyéb köztéri attrakciót, látványelemet látna szívesen a területen, ami miatt szívesen jönne ide?</w:t>
        </w:r>
        <w:r>
          <w:tab/>
        </w:r>
        <w:r>
          <w:fldChar w:fldCharType="begin"/>
        </w:r>
        <w:r>
          <w:instrText xml:space="preserve">PAGEREF 15 \h</w:instrText>
        </w:r>
        <w:r>
          <w:fldChar w:fldCharType="end"/>
        </w:r>
      </w:hyperlink>
    </w:p>
    <w:p>
      <w:pPr>
        <w:tabs>
          <w:tab w:val="right" w:leader="dot" w:pos="9062"/>
        </w:tabs>
      </w:pPr>
      <w:hyperlink w:anchor="_Toc16" w:history="1">
        <w:r>
          <w:rPr>
            <w:sz w:val="24"/>
            <w:szCs w:val="24"/>
          </w:rPr>
          <w:t>A Városház tér 13. szám alatti Fáber-villában (Mária Terézia utca - Városháza előtti utca sarkán álló, jelenleg nem használt épület) helyet kap két közösségi tér: egy 45 m2-es az alagsorban és egy 47 m2-es a földszinten, valamint nyilvános illemhelyiséget is kialakítunk.</w:t>
        </w:r>
        <w:r>
          <w:tab/>
        </w:r>
        <w:r>
          <w:fldChar w:fldCharType="begin"/>
        </w:r>
        <w:r>
          <w:instrText xml:space="preserve">PAGEREF 16 \h</w:instrText>
        </w:r>
        <w:r>
          <w:fldChar w:fldCharType="end"/>
        </w:r>
      </w:hyperlink>
    </w:p>
    <w:p>
      <w:pPr>
        <w:tabs>
          <w:tab w:val="right" w:leader="dot" w:pos="9062"/>
        </w:tabs>
      </w:pPr>
      <w:hyperlink w:anchor="_Toc17" w:history="1">
        <w:r>
          <w:rPr>
            <w:sz w:val="24"/>
            <w:szCs w:val="24"/>
          </w:rPr>
          <w:t>Kérjük, értékelje számokkal, milyen funkciókat látna szívesen a Fáber-villa közösségi terében?</w:t>
        </w:r>
        <w:r>
          <w:tab/>
        </w:r>
        <w:r>
          <w:fldChar w:fldCharType="begin"/>
        </w:r>
        <w:r>
          <w:instrText xml:space="preserve">PAGEREF 17 \h</w:instrText>
        </w:r>
        <w:r>
          <w:fldChar w:fldCharType="end"/>
        </w:r>
      </w:hyperlink>
    </w:p>
    <w:p>
      <w:pPr>
        <w:tabs>
          <w:tab w:val="right" w:leader="dot" w:pos="9062"/>
        </w:tabs>
      </w:pPr>
      <w:hyperlink w:anchor="_Toc18" w:history="1">
        <w:r>
          <w:rPr>
            <w:sz w:val="24"/>
            <w:szCs w:val="24"/>
          </w:rPr>
          <w:t>A Játék utcának a szakrendelő és az iskola közötti szakasza továbbra is egyirányú lesz, de az irány megfordul, a Duna utcából lehet majd ide behajtani, és az iskola mellett tovább haladni a Káldor Adolf utcán a Pécsi utca, ill. Duna utca felé. A Nádasdy iskola előtt kialakuló új tér teljesen autómentes lesz. Az iskola felé a Mária Terézia utca felől is be lehet majd hajtani egy irányban (a park és a Szieszta pont közötti útszakaszon), majd jobbra fordulva a piac felé tovább haladni, de ezt a Játék utcai szakaszt terveink szerint napközben mentesítenénk az átmenő forgalom alól, csak az iskola kiszolgálásához szükséges főidőben lehetne általánosan használni. A részletek kidolgozása a tervezési feladat része, és további egyeztetések tárgya lesz. A téren és az időszakosan részlegesen vagy egészen forgalommentes területen jelentősen nő a zöldfelület, gyalogosbarát kialakítású lesz, ülőbútorokkal, kerékpártárolókkal.Közlekedési koncepcióterv egyszerűsített tervrajzaZöldfelületi terv egyszerűsített tervrajz - Játék utca</w:t>
        </w:r>
        <w:r>
          <w:tab/>
        </w:r>
        <w:r>
          <w:fldChar w:fldCharType="begin"/>
        </w:r>
        <w:r>
          <w:instrText xml:space="preserve">PAGEREF 18 \h</w:instrText>
        </w:r>
        <w:r>
          <w:fldChar w:fldCharType="end"/>
        </w:r>
      </w:hyperlink>
    </w:p>
    <w:p>
      <w:pPr>
        <w:tabs>
          <w:tab w:val="right" w:leader="dot" w:pos="9062"/>
        </w:tabs>
      </w:pPr>
      <w:hyperlink w:anchor="_Toc19" w:history="1">
        <w:r>
          <w:rPr>
            <w:sz w:val="24"/>
            <w:szCs w:val="24"/>
          </w:rPr>
          <w:t>PadokKérjük, értékelje számokkal, milyen típusú ülőbútorokat látna szívesen a területen</w:t>
        </w:r>
        <w:r>
          <w:tab/>
        </w:r>
        <w:r>
          <w:fldChar w:fldCharType="begin"/>
        </w:r>
        <w:r>
          <w:instrText xml:space="preserve">PAGEREF 19 \h</w:instrText>
        </w:r>
        <w:r>
          <w:fldChar w:fldCharType="end"/>
        </w:r>
      </w:hyperlink>
    </w:p>
    <w:p>
      <w:pPr>
        <w:tabs>
          <w:tab w:val="right" w:leader="dot" w:pos="9062"/>
        </w:tabs>
      </w:pPr>
      <w:hyperlink w:anchor="_Toc20" w:history="1">
        <w:r>
          <w:rPr>
            <w:sz w:val="24"/>
            <w:szCs w:val="24"/>
          </w:rPr>
          <w:t>Van-e konkrét ötlete, hogy hová helyezne el ülőbútorokat?</w:t>
        </w:r>
        <w:r>
          <w:tab/>
        </w:r>
        <w:r>
          <w:fldChar w:fldCharType="begin"/>
        </w:r>
        <w:r>
          <w:instrText xml:space="preserve">PAGEREF 20 \h</w:instrText>
        </w:r>
        <w:r>
          <w:fldChar w:fldCharType="end"/>
        </w:r>
      </w:hyperlink>
    </w:p>
    <w:p>
      <w:pPr>
        <w:tabs>
          <w:tab w:val="right" w:leader="dot" w:pos="9062"/>
        </w:tabs>
      </w:pPr>
      <w:hyperlink w:anchor="_Toc21" w:history="1">
        <w:r>
          <w:rPr>
            <w:sz w:val="24"/>
            <w:szCs w:val="24"/>
          </w:rPr>
          <w:t>Mennyire fontos Önnek, hogy minél több természetközeli virágos jellegű évelő és díszfüves zöldfelület legyen a területen?</w:t>
        </w:r>
        <w:r>
          <w:tab/>
        </w:r>
        <w:r>
          <w:fldChar w:fldCharType="begin"/>
        </w:r>
        <w:r>
          <w:instrText xml:space="preserve">PAGEREF 21 \h</w:instrText>
        </w:r>
        <w:r>
          <w:fldChar w:fldCharType="end"/>
        </w:r>
      </w:hyperlink>
    </w:p>
    <w:p>
      <w:pPr>
        <w:tabs>
          <w:tab w:val="right" w:leader="dot" w:pos="9062"/>
        </w:tabs>
      </w:pPr>
      <w:hyperlink w:anchor="_Toc22" w:history="1">
        <w:r>
          <w:rPr>
            <w:sz w:val="24"/>
            <w:szCs w:val="24"/>
          </w:rPr>
          <w:t>Mennyire fontos Önnek, hogy egynyári virágos zöldfelület is legyen?</w:t>
        </w:r>
        <w:r>
          <w:tab/>
        </w:r>
        <w:r>
          <w:fldChar w:fldCharType="begin"/>
        </w:r>
        <w:r>
          <w:instrText xml:space="preserve">PAGEREF 22 \h</w:instrText>
        </w:r>
        <w:r>
          <w:fldChar w:fldCharType="end"/>
        </w:r>
      </w:hyperlink>
    </w:p>
    <w:p>
      <w:pPr>
        <w:tabs>
          <w:tab w:val="right" w:leader="dot" w:pos="9062"/>
        </w:tabs>
      </w:pPr>
      <w:hyperlink w:anchor="_Toc23" w:history="1">
        <w:r>
          <w:rPr>
            <w:sz w:val="24"/>
            <w:szCs w:val="24"/>
          </w:rPr>
          <w:t>Milyen konkrét fafajokat, cserjéket vagy évelő növényeket javasolna, amelyek jól illenének ide?</w:t>
        </w:r>
        <w:r>
          <w:tab/>
        </w:r>
        <w:r>
          <w:fldChar w:fldCharType="begin"/>
        </w:r>
        <w:r>
          <w:instrText xml:space="preserve">PAGEREF 23 \h</w:instrText>
        </w:r>
        <w:r>
          <w:fldChar w:fldCharType="end"/>
        </w:r>
      </w:hyperlink>
    </w:p>
    <w:p>
      <w:pPr>
        <w:tabs>
          <w:tab w:val="right" w:leader="dot" w:pos="9062"/>
        </w:tabs>
      </w:pPr>
      <w:hyperlink w:anchor="_Toc24" w:history="1">
        <w:r>
          <w:rPr>
            <w:sz w:val="24"/>
            <w:szCs w:val="24"/>
          </w:rPr>
          <w:t>Milyen egyéb köztéri attrakciót, látványelemet látna szívesen a területen, ami miatt szívesen ide jönne?</w:t>
        </w:r>
        <w:r>
          <w:tab/>
        </w:r>
        <w:r>
          <w:fldChar w:fldCharType="begin"/>
        </w:r>
        <w:r>
          <w:instrText xml:space="preserve">PAGEREF 24 \h</w:instrText>
        </w:r>
        <w:r>
          <w:fldChar w:fldCharType="end"/>
        </w:r>
      </w:hyperlink>
    </w:p>
    <w:p>
      <w:pPr>
        <w:tabs>
          <w:tab w:val="right" w:leader="dot" w:pos="9062"/>
        </w:tabs>
      </w:pPr>
      <w:hyperlink w:anchor="_Toc25" w:history="1">
        <w:r>
          <w:rPr>
            <w:sz w:val="24"/>
            <w:szCs w:val="24"/>
          </w:rPr>
          <w:t>Ön szerint milyen színvilág alakítaná leginkább az iskola előtti tér hangulatát?</w:t>
        </w:r>
        <w:r>
          <w:tab/>
        </w:r>
        <w:r>
          <w:fldChar w:fldCharType="begin"/>
        </w:r>
        <w:r>
          <w:instrText xml:space="preserve">PAGEREF 25 \h</w:instrText>
        </w:r>
        <w:r>
          <w:fldChar w:fldCharType="end"/>
        </w:r>
      </w:hyperlink>
    </w:p>
    <w:p>
      <w:pPr>
        <w:tabs>
          <w:tab w:val="right" w:leader="dot" w:pos="9062"/>
        </w:tabs>
      </w:pPr>
      <w:hyperlink w:anchor="_Toc26" w:history="1">
        <w:r>
          <w:rPr>
            <w:sz w:val="24"/>
            <w:szCs w:val="24"/>
          </w:rPr>
          <w:t>Van-e egyéb ötlete, észrevétele, kiegészítése, amit fontosnak tartana a tervezés során figyelembe venni?</w:t>
        </w:r>
        <w:r>
          <w:tab/>
        </w:r>
        <w:r>
          <w:fldChar w:fldCharType="begin"/>
        </w:r>
        <w:r>
          <w:instrText xml:space="preserve">PAGEREF 26 \h</w:instrText>
        </w:r>
        <w:r>
          <w:fldChar w:fldCharType="end"/>
        </w:r>
      </w:hyperlink>
    </w:p>
    <w:p>
      <w:r>
        <w:fldChar w:fldCharType="end"/>
      </w:r>
    </w:p>
    <w:p>
      <w:pPr>
        <w:sectPr>
          <w:footerReference w:type="default" r:id="rId7"/>
          <w:pgSz w:orient="portrait" w:w="11905.511811023622" w:h="16837.79527559055"/>
          <w:pgMar w:top="1440" w:right="1440" w:bottom="1440" w:left="1440" w:header="720" w:footer="720" w:gutter="0"/>
          <w:cols w:num="1" w:space="720"/>
        </w:sectPr>
      </w:pPr>
    </w:p>
    <w:p>
      <w:pPr>
        <w:pStyle w:val="Heading1"/>
      </w:pPr>
      <w:bookmarkStart w:id="0" w:name="_Toc0"/>
      <w:r>
        <w:t>A kerületben él?</w:t>
      </w:r>
      <w:bookmarkEnd w:id="0"/>
    </w:p>
    <w:tbl>
      <w:tblGrid>
        <w:gridCol w:w="9000" w:type="dxa"/>
        <w:gridCol w:w="900" w:type="dxa"/>
        <w:gridCol w:w="900" w:type="dxa"/>
      </w:tblGrid>
      <w:tblPr>
        <w:tblStyle w:val="StatTable"/>
      </w:tblPr>
      <w:tr>
        <w:trPr/>
        <w:tc>
          <w:tcPr>
            <w:tcW w:w="9000" w:type="dxa"/>
            <w:vAlign w:val="center"/>
            <w:noWrap/>
          </w:tcPr>
          <w:p>
            <w:pPr/>
            <w:r>
              <w:rPr>
                <w:sz w:val="24"/>
                <w:szCs w:val="24"/>
                <w:b w:val="1"/>
                <w:bCs w:val="1"/>
              </w:rPr>
              <w:t xml:space="preserve">Válasz</w:t>
            </w:r>
          </w:p>
        </w:tc>
        <w:tc>
          <w:tcPr>
            <w:tcW w:w="900" w:type="dxa"/>
            <w:vAlign w:val="center"/>
            <w:noWrap/>
          </w:tcPr>
          <w:p>
            <w:pPr>
              <w:jc w:val="center"/>
            </w:pPr>
            <w:r>
              <w:rPr>
                <w:sz w:val="24"/>
                <w:szCs w:val="24"/>
                <w:b w:val="1"/>
                <w:bCs w:val="1"/>
              </w:rPr>
              <w:t xml:space="preserve">db</w:t>
            </w:r>
          </w:p>
        </w:tc>
        <w:tc>
          <w:tcPr>
            <w:tcW w:w="900" w:type="dxa"/>
            <w:vAlign w:val="center"/>
            <w:noWrap/>
          </w:tcPr>
          <w:p>
            <w:pPr>
              <w:jc w:val="center"/>
            </w:pPr>
            <w:r>
              <w:rPr>
                <w:sz w:val="24"/>
                <w:szCs w:val="24"/>
                <w:b w:val="1"/>
                <w:bCs w:val="1"/>
              </w:rPr>
              <w:t xml:space="preserve">%</w:t>
            </w:r>
          </w:p>
        </w:tc>
      </w:tr>
      <w:tr>
        <w:trPr/>
        <w:tc>
          <w:tcPr>
            <w:tcW w:w="9000" w:type="dxa"/>
            <w:vAlign w:val="center"/>
            <w:noWrap/>
          </w:tcPr>
          <w:p>
            <w:pPr/>
            <w:r>
              <w:rPr>
                <w:sz w:val="24"/>
                <w:szCs w:val="24"/>
              </w:rPr>
              <w:t xml:space="preserve">Igen</w:t>
            </w:r>
          </w:p>
        </w:tc>
        <w:tc>
          <w:tcPr>
            <w:tcW w:w="900" w:type="dxa"/>
            <w:vAlign w:val="center"/>
            <w:noWrap/>
          </w:tcPr>
          <w:p>
            <w:pPr>
              <w:jc w:val="center"/>
            </w:pPr>
            <w:r>
              <w:rPr>
                <w:sz w:val="24"/>
                <w:szCs w:val="24"/>
              </w:rPr>
              <w:t xml:space="preserve">398</w:t>
            </w:r>
          </w:p>
        </w:tc>
        <w:tc>
          <w:tcPr>
            <w:tcW w:w="900" w:type="dxa"/>
            <w:vAlign w:val="center"/>
            <w:noWrap/>
          </w:tcPr>
          <w:p>
            <w:pPr>
              <w:jc w:val="center"/>
            </w:pPr>
            <w:r>
              <w:rPr>
                <w:sz w:val="24"/>
                <w:szCs w:val="24"/>
              </w:rPr>
              <w:t xml:space="preserve">94.1%</w:t>
            </w:r>
          </w:p>
        </w:tc>
      </w:tr>
      <w:tr>
        <w:trPr/>
        <w:tc>
          <w:tcPr>
            <w:tcW w:w="9000" w:type="dxa"/>
            <w:vAlign w:val="center"/>
            <w:noWrap/>
          </w:tcPr>
          <w:p>
            <w:pPr/>
            <w:r>
              <w:rPr>
                <w:sz w:val="24"/>
                <w:szCs w:val="24"/>
              </w:rPr>
              <w:t xml:space="preserve">Nem</w:t>
            </w:r>
          </w:p>
        </w:tc>
        <w:tc>
          <w:tcPr>
            <w:tcW w:w="900" w:type="dxa"/>
            <w:vAlign w:val="center"/>
            <w:noWrap/>
          </w:tcPr>
          <w:p>
            <w:pPr>
              <w:jc w:val="center"/>
            </w:pPr>
            <w:r>
              <w:rPr>
                <w:sz w:val="24"/>
                <w:szCs w:val="24"/>
              </w:rPr>
              <w:t xml:space="preserve">25</w:t>
            </w:r>
          </w:p>
        </w:tc>
        <w:tc>
          <w:tcPr>
            <w:tcW w:w="900" w:type="dxa"/>
            <w:vAlign w:val="center"/>
            <w:noWrap/>
          </w:tcPr>
          <w:p>
            <w:pPr>
              <w:jc w:val="center"/>
            </w:pPr>
            <w:r>
              <w:rPr>
                <w:sz w:val="24"/>
                <w:szCs w:val="24"/>
              </w:rPr>
              <w:t xml:space="preserve">5.9%</w:t>
            </w:r>
          </w:p>
        </w:tc>
      </w:tr>
    </w:tbl>
    <w:p/>
    <w:p>
      <w:pPr>
        <w:jc w:val="right"/>
      </w:pPr>
      <w:r>
        <w:rPr>
          <w:sz w:val="24"/>
          <w:szCs w:val="24"/>
          <w:b w:val="1"/>
          <w:bCs w:val="1"/>
        </w:rPr>
        <w:t xml:space="preserve">423</w:t>
      </w:r>
      <w:r>
        <w:rPr>
          <w:sz w:val="24"/>
          <w:szCs w:val="24"/>
        </w:rPr>
        <w:t xml:space="preserve"> kitöltőtől összesen </w:t>
      </w:r>
      <w:r>
        <w:rPr>
          <w:sz w:val="24"/>
          <w:szCs w:val="24"/>
          <w:b w:val="1"/>
          <w:bCs w:val="1"/>
        </w:rPr>
        <w:t xml:space="preserve">423</w:t>
      </w:r>
      <w:r>
        <w:rPr>
          <w:sz w:val="24"/>
          <w:szCs w:val="24"/>
        </w:rPr>
        <w:t xml:space="preserve"> válasz</w:t>
      </w:r>
    </w:p>
    <w:p>
      <w:r>
        <w:drawing>
          <wp:inline>
            <wp:extent cx="6858000" cy="5943600"/>
            <wp:docPr id="8" name="Chart8"/>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pPr>
        <w:sectPr>
          <w:pgSz w:orient="portrait" w:w="11905.511811023622" w:h="16837.79527559055"/>
          <w:pgMar w:top="600" w:right="600" w:bottom="600" w:left="600" w:header="720" w:footer="720" w:gutter="0"/>
          <w:cols w:num="1" w:space="720"/>
        </w:sectPr>
      </w:pPr>
    </w:p>
    <w:p>
      <w:pPr>
        <w:pStyle w:val="Heading1"/>
      </w:pPr>
      <w:bookmarkStart w:id="1" w:name="_Toc1"/>
      <w:r>
        <w:t>Milyen gyakran jár ezekben az utcákban?</w:t>
      </w:r>
      <w:bookmarkEnd w:id="1"/>
    </w:p>
    <w:tbl>
      <w:tblGrid>
        <w:gridCol w:w="9000" w:type="dxa"/>
        <w:gridCol w:w="900" w:type="dxa"/>
        <w:gridCol w:w="900" w:type="dxa"/>
      </w:tblGrid>
      <w:tblPr>
        <w:tblStyle w:val="StatTable"/>
      </w:tblPr>
      <w:tr>
        <w:trPr/>
        <w:tc>
          <w:tcPr>
            <w:tcW w:w="9000" w:type="dxa"/>
            <w:vAlign w:val="center"/>
            <w:noWrap/>
          </w:tcPr>
          <w:p>
            <w:pPr/>
            <w:r>
              <w:rPr>
                <w:sz w:val="24"/>
                <w:szCs w:val="24"/>
                <w:b w:val="1"/>
                <w:bCs w:val="1"/>
              </w:rPr>
              <w:t xml:space="preserve">Válasz</w:t>
            </w:r>
          </w:p>
        </w:tc>
        <w:tc>
          <w:tcPr>
            <w:tcW w:w="900" w:type="dxa"/>
            <w:vAlign w:val="center"/>
            <w:noWrap/>
          </w:tcPr>
          <w:p>
            <w:pPr>
              <w:jc w:val="center"/>
            </w:pPr>
            <w:r>
              <w:rPr>
                <w:sz w:val="24"/>
                <w:szCs w:val="24"/>
                <w:b w:val="1"/>
                <w:bCs w:val="1"/>
              </w:rPr>
              <w:t xml:space="preserve">db</w:t>
            </w:r>
          </w:p>
        </w:tc>
        <w:tc>
          <w:tcPr>
            <w:tcW w:w="900" w:type="dxa"/>
            <w:vAlign w:val="center"/>
            <w:noWrap/>
          </w:tcPr>
          <w:p>
            <w:pPr>
              <w:jc w:val="center"/>
            </w:pPr>
            <w:r>
              <w:rPr>
                <w:sz w:val="24"/>
                <w:szCs w:val="24"/>
                <w:b w:val="1"/>
                <w:bCs w:val="1"/>
              </w:rPr>
              <w:t xml:space="preserve">%</w:t>
            </w:r>
          </w:p>
        </w:tc>
      </w:tr>
      <w:tr>
        <w:trPr/>
        <w:tc>
          <w:tcPr>
            <w:tcW w:w="9000" w:type="dxa"/>
            <w:vAlign w:val="center"/>
            <w:noWrap/>
          </w:tcPr>
          <w:p>
            <w:pPr/>
            <w:r>
              <w:rPr>
                <w:sz w:val="24"/>
                <w:szCs w:val="24"/>
              </w:rPr>
              <w:t xml:space="preserve">naponta</w:t>
            </w:r>
          </w:p>
        </w:tc>
        <w:tc>
          <w:tcPr>
            <w:tcW w:w="900" w:type="dxa"/>
            <w:vAlign w:val="center"/>
            <w:noWrap/>
          </w:tcPr>
          <w:p>
            <w:pPr>
              <w:jc w:val="center"/>
            </w:pPr>
            <w:r>
              <w:rPr>
                <w:sz w:val="24"/>
                <w:szCs w:val="24"/>
              </w:rPr>
              <w:t xml:space="preserve">143</w:t>
            </w:r>
          </w:p>
        </w:tc>
        <w:tc>
          <w:tcPr>
            <w:tcW w:w="900" w:type="dxa"/>
            <w:vAlign w:val="center"/>
            <w:noWrap/>
          </w:tcPr>
          <w:p>
            <w:pPr>
              <w:jc w:val="center"/>
            </w:pPr>
            <w:r>
              <w:rPr>
                <w:sz w:val="24"/>
                <w:szCs w:val="24"/>
              </w:rPr>
              <w:t xml:space="preserve">33.8%</w:t>
            </w:r>
          </w:p>
        </w:tc>
      </w:tr>
      <w:tr>
        <w:trPr/>
        <w:tc>
          <w:tcPr>
            <w:tcW w:w="9000" w:type="dxa"/>
            <w:vAlign w:val="center"/>
            <w:noWrap/>
          </w:tcPr>
          <w:p>
            <w:pPr/>
            <w:r>
              <w:rPr>
                <w:sz w:val="24"/>
                <w:szCs w:val="24"/>
              </w:rPr>
              <w:t xml:space="preserve">hetente</w:t>
            </w:r>
          </w:p>
        </w:tc>
        <w:tc>
          <w:tcPr>
            <w:tcW w:w="900" w:type="dxa"/>
            <w:vAlign w:val="center"/>
            <w:noWrap/>
          </w:tcPr>
          <w:p>
            <w:pPr>
              <w:jc w:val="center"/>
            </w:pPr>
            <w:r>
              <w:rPr>
                <w:sz w:val="24"/>
                <w:szCs w:val="24"/>
              </w:rPr>
              <w:t xml:space="preserve">193</w:t>
            </w:r>
          </w:p>
        </w:tc>
        <w:tc>
          <w:tcPr>
            <w:tcW w:w="900" w:type="dxa"/>
            <w:vAlign w:val="center"/>
            <w:noWrap/>
          </w:tcPr>
          <w:p>
            <w:pPr>
              <w:jc w:val="center"/>
            </w:pPr>
            <w:r>
              <w:rPr>
                <w:sz w:val="24"/>
                <w:szCs w:val="24"/>
              </w:rPr>
              <w:t xml:space="preserve">45.6%</w:t>
            </w:r>
          </w:p>
        </w:tc>
      </w:tr>
      <w:tr>
        <w:trPr/>
        <w:tc>
          <w:tcPr>
            <w:tcW w:w="9000" w:type="dxa"/>
            <w:vAlign w:val="center"/>
            <w:noWrap/>
          </w:tcPr>
          <w:p>
            <w:pPr/>
            <w:r>
              <w:rPr>
                <w:sz w:val="24"/>
                <w:szCs w:val="24"/>
              </w:rPr>
              <w:t xml:space="preserve">havonta</w:t>
            </w:r>
          </w:p>
        </w:tc>
        <w:tc>
          <w:tcPr>
            <w:tcW w:w="900" w:type="dxa"/>
            <w:vAlign w:val="center"/>
            <w:noWrap/>
          </w:tcPr>
          <w:p>
            <w:pPr>
              <w:jc w:val="center"/>
            </w:pPr>
            <w:r>
              <w:rPr>
                <w:sz w:val="24"/>
                <w:szCs w:val="24"/>
              </w:rPr>
              <w:t xml:space="preserve">60</w:t>
            </w:r>
          </w:p>
        </w:tc>
        <w:tc>
          <w:tcPr>
            <w:tcW w:w="900" w:type="dxa"/>
            <w:vAlign w:val="center"/>
            <w:noWrap/>
          </w:tcPr>
          <w:p>
            <w:pPr>
              <w:jc w:val="center"/>
            </w:pPr>
            <w:r>
              <w:rPr>
                <w:sz w:val="24"/>
                <w:szCs w:val="24"/>
              </w:rPr>
              <w:t xml:space="preserve">14.2%</w:t>
            </w:r>
          </w:p>
        </w:tc>
      </w:tr>
      <w:tr>
        <w:trPr/>
        <w:tc>
          <w:tcPr>
            <w:tcW w:w="9000" w:type="dxa"/>
            <w:vAlign w:val="center"/>
            <w:noWrap/>
          </w:tcPr>
          <w:p>
            <w:pPr/>
            <w:r>
              <w:rPr>
                <w:sz w:val="24"/>
                <w:szCs w:val="24"/>
              </w:rPr>
              <w:t xml:space="preserve">ritkábban, alkalmanként</w:t>
            </w:r>
          </w:p>
        </w:tc>
        <w:tc>
          <w:tcPr>
            <w:tcW w:w="900" w:type="dxa"/>
            <w:vAlign w:val="center"/>
            <w:noWrap/>
          </w:tcPr>
          <w:p>
            <w:pPr>
              <w:jc w:val="center"/>
            </w:pPr>
            <w:r>
              <w:rPr>
                <w:sz w:val="24"/>
                <w:szCs w:val="24"/>
              </w:rPr>
              <w:t xml:space="preserve">27</w:t>
            </w:r>
          </w:p>
        </w:tc>
        <w:tc>
          <w:tcPr>
            <w:tcW w:w="900" w:type="dxa"/>
            <w:vAlign w:val="center"/>
            <w:noWrap/>
          </w:tcPr>
          <w:p>
            <w:pPr>
              <w:jc w:val="center"/>
            </w:pPr>
            <w:r>
              <w:rPr>
                <w:sz w:val="24"/>
                <w:szCs w:val="24"/>
              </w:rPr>
              <w:t xml:space="preserve">6.4%</w:t>
            </w:r>
          </w:p>
        </w:tc>
      </w:tr>
    </w:tbl>
    <w:p/>
    <w:p>
      <w:pPr>
        <w:jc w:val="right"/>
      </w:pPr>
      <w:r>
        <w:rPr>
          <w:sz w:val="24"/>
          <w:szCs w:val="24"/>
          <w:b w:val="1"/>
          <w:bCs w:val="1"/>
        </w:rPr>
        <w:t xml:space="preserve">423</w:t>
      </w:r>
      <w:r>
        <w:rPr>
          <w:sz w:val="24"/>
          <w:szCs w:val="24"/>
        </w:rPr>
        <w:t xml:space="preserve"> kitöltőtől összesen </w:t>
      </w:r>
      <w:r>
        <w:rPr>
          <w:sz w:val="24"/>
          <w:szCs w:val="24"/>
          <w:b w:val="1"/>
          <w:bCs w:val="1"/>
        </w:rPr>
        <w:t xml:space="preserve">423</w:t>
      </w:r>
      <w:r>
        <w:rPr>
          <w:sz w:val="24"/>
          <w:szCs w:val="24"/>
        </w:rPr>
        <w:t xml:space="preserve"> válasz</w:t>
      </w:r>
    </w:p>
    <w:p>
      <w:r>
        <w:drawing>
          <wp:inline>
            <wp:extent cx="6858000" cy="5943600"/>
            <wp:docPr id="9" name="Chart9"/>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pPr>
        <w:sectPr>
          <w:pgSz w:orient="portrait" w:w="11905.511811023622" w:h="16837.79527559055"/>
          <w:pgMar w:top="600" w:right="600" w:bottom="600" w:left="600" w:header="720" w:footer="720" w:gutter="0"/>
          <w:cols w:num="1" w:space="720"/>
        </w:sectPr>
      </w:pPr>
    </w:p>
    <w:p>
      <w:pPr>
        <w:pStyle w:val="Heading1"/>
      </w:pPr>
      <w:bookmarkStart w:id="2" w:name="_Toc2"/>
      <w:r>
        <w:t>A beavatkozási területet milyen minőségben használja?</w:t>
      </w:r>
      <w:bookmarkEnd w:id="2"/>
    </w:p>
    <w:tbl>
      <w:tblGrid>
        <w:gridCol w:w="9000" w:type="dxa"/>
        <w:gridCol w:w="900" w:type="dxa"/>
        <w:gridCol w:w="900" w:type="dxa"/>
      </w:tblGrid>
      <w:tblPr>
        <w:tblStyle w:val="StatTable"/>
      </w:tblPr>
      <w:tr>
        <w:trPr/>
        <w:tc>
          <w:tcPr>
            <w:tcW w:w="9000" w:type="dxa"/>
            <w:vAlign w:val="center"/>
            <w:noWrap/>
          </w:tcPr>
          <w:p>
            <w:pPr/>
            <w:r>
              <w:rPr>
                <w:sz w:val="24"/>
                <w:szCs w:val="24"/>
                <w:b w:val="1"/>
                <w:bCs w:val="1"/>
              </w:rPr>
              <w:t xml:space="preserve">Válasz</w:t>
            </w:r>
          </w:p>
        </w:tc>
        <w:tc>
          <w:tcPr>
            <w:tcW w:w="900" w:type="dxa"/>
            <w:vAlign w:val="center"/>
            <w:noWrap/>
          </w:tcPr>
          <w:p>
            <w:pPr>
              <w:jc w:val="center"/>
            </w:pPr>
            <w:r>
              <w:rPr>
                <w:sz w:val="24"/>
                <w:szCs w:val="24"/>
                <w:b w:val="1"/>
                <w:bCs w:val="1"/>
              </w:rPr>
              <w:t xml:space="preserve">db</w:t>
            </w:r>
          </w:p>
        </w:tc>
        <w:tc>
          <w:tcPr>
            <w:tcW w:w="900" w:type="dxa"/>
            <w:vAlign w:val="center"/>
            <w:noWrap/>
          </w:tcPr>
          <w:p>
            <w:pPr>
              <w:jc w:val="center"/>
            </w:pPr>
            <w:r>
              <w:rPr>
                <w:sz w:val="24"/>
                <w:szCs w:val="24"/>
                <w:b w:val="1"/>
                <w:bCs w:val="1"/>
              </w:rPr>
              <w:t xml:space="preserve">%</w:t>
            </w:r>
          </w:p>
        </w:tc>
      </w:tr>
      <w:tr>
        <w:trPr/>
        <w:tc>
          <w:tcPr>
            <w:tcW w:w="9000" w:type="dxa"/>
            <w:vAlign w:val="center"/>
            <w:noWrap/>
          </w:tcPr>
          <w:p>
            <w:pPr/>
            <w:r>
              <w:rPr>
                <w:sz w:val="24"/>
                <w:szCs w:val="24"/>
              </w:rPr>
              <w:t xml:space="preserve">a területen lakom</w:t>
            </w:r>
          </w:p>
        </w:tc>
        <w:tc>
          <w:tcPr>
            <w:tcW w:w="900" w:type="dxa"/>
            <w:vAlign w:val="center"/>
            <w:noWrap/>
          </w:tcPr>
          <w:p>
            <w:pPr>
              <w:jc w:val="center"/>
            </w:pPr>
            <w:r>
              <w:rPr>
                <w:sz w:val="24"/>
                <w:szCs w:val="24"/>
              </w:rPr>
              <w:t xml:space="preserve">37</w:t>
            </w:r>
          </w:p>
        </w:tc>
        <w:tc>
          <w:tcPr>
            <w:tcW w:w="900" w:type="dxa"/>
            <w:vAlign w:val="center"/>
            <w:noWrap/>
          </w:tcPr>
          <w:p>
            <w:pPr>
              <w:jc w:val="center"/>
            </w:pPr>
            <w:r>
              <w:rPr>
                <w:sz w:val="24"/>
                <w:szCs w:val="24"/>
              </w:rPr>
              <w:t xml:space="preserve">8.7%</w:t>
            </w:r>
          </w:p>
        </w:tc>
      </w:tr>
      <w:tr>
        <w:trPr/>
        <w:tc>
          <w:tcPr>
            <w:tcW w:w="9000" w:type="dxa"/>
            <w:vAlign w:val="center"/>
            <w:noWrap/>
          </w:tcPr>
          <w:p>
            <w:pPr/>
            <w:r>
              <w:rPr>
                <w:sz w:val="24"/>
                <w:szCs w:val="24"/>
              </w:rPr>
              <w:t xml:space="preserve">valamelyik intézményben, szolgáltatói helyen stb. dolgozom</w:t>
            </w:r>
          </w:p>
        </w:tc>
        <w:tc>
          <w:tcPr>
            <w:tcW w:w="900" w:type="dxa"/>
            <w:vAlign w:val="center"/>
            <w:noWrap/>
          </w:tcPr>
          <w:p>
            <w:pPr>
              <w:jc w:val="center"/>
            </w:pPr>
            <w:r>
              <w:rPr>
                <w:sz w:val="24"/>
                <w:szCs w:val="24"/>
              </w:rPr>
              <w:t xml:space="preserve">25</w:t>
            </w:r>
          </w:p>
        </w:tc>
        <w:tc>
          <w:tcPr>
            <w:tcW w:w="900" w:type="dxa"/>
            <w:vAlign w:val="center"/>
            <w:noWrap/>
          </w:tcPr>
          <w:p>
            <w:pPr>
              <w:jc w:val="center"/>
            </w:pPr>
            <w:r>
              <w:rPr>
                <w:sz w:val="24"/>
                <w:szCs w:val="24"/>
              </w:rPr>
              <w:t xml:space="preserve">5.9%</w:t>
            </w:r>
          </w:p>
        </w:tc>
      </w:tr>
      <w:tr>
        <w:trPr/>
        <w:tc>
          <w:tcPr>
            <w:tcW w:w="9000" w:type="dxa"/>
            <w:vAlign w:val="center"/>
            <w:noWrap/>
          </w:tcPr>
          <w:p>
            <w:pPr/>
            <w:r>
              <w:rPr>
                <w:sz w:val="24"/>
                <w:szCs w:val="24"/>
              </w:rPr>
              <w:t xml:space="preserve">nádasdys szülő vagyok</w:t>
            </w:r>
          </w:p>
        </w:tc>
        <w:tc>
          <w:tcPr>
            <w:tcW w:w="900" w:type="dxa"/>
            <w:vAlign w:val="center"/>
            <w:noWrap/>
          </w:tcPr>
          <w:p>
            <w:pPr>
              <w:jc w:val="center"/>
            </w:pPr>
            <w:r>
              <w:rPr>
                <w:sz w:val="24"/>
                <w:szCs w:val="24"/>
              </w:rPr>
              <w:t xml:space="preserve">17</w:t>
            </w:r>
          </w:p>
        </w:tc>
        <w:tc>
          <w:tcPr>
            <w:tcW w:w="900" w:type="dxa"/>
            <w:vAlign w:val="center"/>
            <w:noWrap/>
          </w:tcPr>
          <w:p>
            <w:pPr>
              <w:jc w:val="center"/>
            </w:pPr>
            <w:r>
              <w:rPr>
                <w:sz w:val="24"/>
                <w:szCs w:val="24"/>
              </w:rPr>
              <w:t xml:space="preserve">4%</w:t>
            </w:r>
          </w:p>
        </w:tc>
      </w:tr>
      <w:tr>
        <w:trPr/>
        <w:tc>
          <w:tcPr>
            <w:tcW w:w="9000" w:type="dxa"/>
            <w:vAlign w:val="center"/>
            <w:noWrap/>
          </w:tcPr>
          <w:p>
            <w:pPr/>
            <w:r>
              <w:rPr>
                <w:sz w:val="24"/>
                <w:szCs w:val="24"/>
              </w:rPr>
              <w:t xml:space="preserve">valamilyen szolgáltatást veszek igénybe (posta, orvosi rendelők, piac, gyógyszertár, ingatlanos stb.)</w:t>
            </w:r>
          </w:p>
        </w:tc>
        <w:tc>
          <w:tcPr>
            <w:tcW w:w="900" w:type="dxa"/>
            <w:vAlign w:val="center"/>
            <w:noWrap/>
          </w:tcPr>
          <w:p>
            <w:pPr>
              <w:jc w:val="center"/>
            </w:pPr>
            <w:r>
              <w:rPr>
                <w:sz w:val="24"/>
                <w:szCs w:val="24"/>
              </w:rPr>
              <w:t xml:space="preserve">355</w:t>
            </w:r>
          </w:p>
        </w:tc>
        <w:tc>
          <w:tcPr>
            <w:tcW w:w="900" w:type="dxa"/>
            <w:vAlign w:val="center"/>
            <w:noWrap/>
          </w:tcPr>
          <w:p>
            <w:pPr>
              <w:jc w:val="center"/>
            </w:pPr>
            <w:r>
              <w:rPr>
                <w:sz w:val="24"/>
                <w:szCs w:val="24"/>
              </w:rPr>
              <w:t xml:space="preserve">83.9%</w:t>
            </w:r>
          </w:p>
        </w:tc>
      </w:tr>
      <w:tr>
        <w:trPr/>
        <w:tc>
          <w:tcPr>
            <w:tcW w:w="9000" w:type="dxa"/>
            <w:vAlign w:val="center"/>
            <w:noWrap/>
          </w:tcPr>
          <w:p>
            <w:pPr/>
            <w:r>
              <w:rPr>
                <w:sz w:val="24"/>
                <w:szCs w:val="24"/>
              </w:rPr>
              <w:t xml:space="preserve">játszótérre járunk a gyerekekkel</w:t>
            </w:r>
          </w:p>
        </w:tc>
        <w:tc>
          <w:tcPr>
            <w:tcW w:w="900" w:type="dxa"/>
            <w:vAlign w:val="center"/>
            <w:noWrap/>
          </w:tcPr>
          <w:p>
            <w:pPr>
              <w:jc w:val="center"/>
            </w:pPr>
            <w:r>
              <w:rPr>
                <w:sz w:val="24"/>
                <w:szCs w:val="24"/>
              </w:rPr>
              <w:t xml:space="preserve">82</w:t>
            </w:r>
          </w:p>
        </w:tc>
        <w:tc>
          <w:tcPr>
            <w:tcW w:w="900" w:type="dxa"/>
            <w:vAlign w:val="center"/>
            <w:noWrap/>
          </w:tcPr>
          <w:p>
            <w:pPr>
              <w:jc w:val="center"/>
            </w:pPr>
            <w:r>
              <w:rPr>
                <w:sz w:val="24"/>
                <w:szCs w:val="24"/>
              </w:rPr>
              <w:t xml:space="preserve">19.4%</w:t>
            </w:r>
          </w:p>
        </w:tc>
      </w:tr>
      <w:tr>
        <w:trPr/>
        <w:tc>
          <w:tcPr>
            <w:tcW w:w="9000" w:type="dxa"/>
            <w:vAlign w:val="center"/>
            <w:noWrap/>
          </w:tcPr>
          <w:p>
            <w:pPr/>
            <w:r>
              <w:rPr>
                <w:sz w:val="24"/>
                <w:szCs w:val="24"/>
              </w:rPr>
              <w:t xml:space="preserve">a templomba járok</w:t>
            </w:r>
          </w:p>
        </w:tc>
        <w:tc>
          <w:tcPr>
            <w:tcW w:w="900" w:type="dxa"/>
            <w:vAlign w:val="center"/>
            <w:noWrap/>
          </w:tcPr>
          <w:p>
            <w:pPr>
              <w:jc w:val="center"/>
            </w:pPr>
            <w:r>
              <w:rPr>
                <w:sz w:val="24"/>
                <w:szCs w:val="24"/>
              </w:rPr>
              <w:t xml:space="preserve">36</w:t>
            </w:r>
          </w:p>
        </w:tc>
        <w:tc>
          <w:tcPr>
            <w:tcW w:w="900" w:type="dxa"/>
            <w:vAlign w:val="center"/>
            <w:noWrap/>
          </w:tcPr>
          <w:p>
            <w:pPr>
              <w:jc w:val="center"/>
            </w:pPr>
            <w:r>
              <w:rPr>
                <w:sz w:val="24"/>
                <w:szCs w:val="24"/>
              </w:rPr>
              <w:t xml:space="preserve">8.5%</w:t>
            </w:r>
          </w:p>
        </w:tc>
      </w:tr>
      <w:tr>
        <w:trPr/>
        <w:tc>
          <w:tcPr>
            <w:tcW w:w="9000" w:type="dxa"/>
            <w:vAlign w:val="center"/>
            <w:noWrap/>
          </w:tcPr>
          <w:p>
            <w:pPr/>
            <w:r>
              <w:rPr>
                <w:sz w:val="24"/>
                <w:szCs w:val="24"/>
              </w:rPr>
              <w:t xml:space="preserve">rendszeresen áthaladok</w:t>
            </w:r>
          </w:p>
        </w:tc>
        <w:tc>
          <w:tcPr>
            <w:tcW w:w="900" w:type="dxa"/>
            <w:vAlign w:val="center"/>
            <w:noWrap/>
          </w:tcPr>
          <w:p>
            <w:pPr>
              <w:jc w:val="center"/>
            </w:pPr>
            <w:r>
              <w:rPr>
                <w:sz w:val="24"/>
                <w:szCs w:val="24"/>
              </w:rPr>
              <w:t xml:space="preserve">224</w:t>
            </w:r>
          </w:p>
        </w:tc>
        <w:tc>
          <w:tcPr>
            <w:tcW w:w="900" w:type="dxa"/>
            <w:vAlign w:val="center"/>
            <w:noWrap/>
          </w:tcPr>
          <w:p>
            <w:pPr>
              <w:jc w:val="center"/>
            </w:pPr>
            <w:r>
              <w:rPr>
                <w:sz w:val="24"/>
                <w:szCs w:val="24"/>
              </w:rPr>
              <w:t xml:space="preserve">53%</w:t>
            </w:r>
          </w:p>
        </w:tc>
      </w:tr>
    </w:tbl>
    <w:p/>
    <w:p>
      <w:pPr>
        <w:jc w:val="right"/>
      </w:pPr>
      <w:r>
        <w:rPr>
          <w:sz w:val="24"/>
          <w:szCs w:val="24"/>
          <w:b w:val="1"/>
          <w:bCs w:val="1"/>
        </w:rPr>
        <w:t xml:space="preserve">423</w:t>
      </w:r>
      <w:r>
        <w:rPr>
          <w:sz w:val="24"/>
          <w:szCs w:val="24"/>
        </w:rPr>
        <w:t xml:space="preserve"> kitöltőtől összesen </w:t>
      </w:r>
      <w:r>
        <w:rPr>
          <w:sz w:val="24"/>
          <w:szCs w:val="24"/>
          <w:b w:val="1"/>
          <w:bCs w:val="1"/>
        </w:rPr>
        <w:t xml:space="preserve">776</w:t>
      </w:r>
      <w:r>
        <w:rPr>
          <w:sz w:val="24"/>
          <w:szCs w:val="24"/>
        </w:rPr>
        <w:t xml:space="preserve"> válasz</w:t>
      </w:r>
    </w:p>
    <w:p>
      <w:r>
        <w:drawing>
          <wp:inline>
            <wp:extent cx="6858000" cy="5943600"/>
            <wp:docPr id="10" name="Chart10"/>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pPr>
        <w:sectPr>
          <w:pgSz w:orient="portrait" w:w="11905.511811023622" w:h="16837.79527559055"/>
          <w:pgMar w:top="600" w:right="600" w:bottom="600" w:left="600" w:header="720" w:footer="720" w:gutter="0"/>
          <w:cols w:num="1" w:space="720"/>
        </w:sectPr>
      </w:pPr>
    </w:p>
    <w:p>
      <w:pPr>
        <w:pStyle w:val="Heading1"/>
      </w:pPr>
      <w:bookmarkStart w:id="3" w:name="_Toc3"/>
      <w:r>
        <w:t>Milyen közlekedési módot használ ezen a területen?</w:t>
      </w:r>
      <w:bookmarkEnd w:id="3"/>
    </w:p>
    <w:tbl>
      <w:tblGrid>
        <w:gridCol w:w="9000" w:type="dxa"/>
        <w:gridCol w:w="900" w:type="dxa"/>
        <w:gridCol w:w="900" w:type="dxa"/>
      </w:tblGrid>
      <w:tblPr>
        <w:tblStyle w:val="StatTable"/>
      </w:tblPr>
      <w:tr>
        <w:trPr/>
        <w:tc>
          <w:tcPr>
            <w:tcW w:w="9000" w:type="dxa"/>
            <w:vAlign w:val="center"/>
            <w:noWrap/>
          </w:tcPr>
          <w:p>
            <w:pPr/>
            <w:r>
              <w:rPr>
                <w:sz w:val="24"/>
                <w:szCs w:val="24"/>
                <w:b w:val="1"/>
                <w:bCs w:val="1"/>
              </w:rPr>
              <w:t xml:space="preserve">Válasz</w:t>
            </w:r>
          </w:p>
        </w:tc>
        <w:tc>
          <w:tcPr>
            <w:tcW w:w="900" w:type="dxa"/>
            <w:vAlign w:val="center"/>
            <w:noWrap/>
          </w:tcPr>
          <w:p>
            <w:pPr>
              <w:jc w:val="center"/>
            </w:pPr>
            <w:r>
              <w:rPr>
                <w:sz w:val="24"/>
                <w:szCs w:val="24"/>
                <w:b w:val="1"/>
                <w:bCs w:val="1"/>
              </w:rPr>
              <w:t xml:space="preserve">db</w:t>
            </w:r>
          </w:p>
        </w:tc>
        <w:tc>
          <w:tcPr>
            <w:tcW w:w="900" w:type="dxa"/>
            <w:vAlign w:val="center"/>
            <w:noWrap/>
          </w:tcPr>
          <w:p>
            <w:pPr>
              <w:jc w:val="center"/>
            </w:pPr>
            <w:r>
              <w:rPr>
                <w:sz w:val="24"/>
                <w:szCs w:val="24"/>
                <w:b w:val="1"/>
                <w:bCs w:val="1"/>
              </w:rPr>
              <w:t xml:space="preserve">%</w:t>
            </w:r>
          </w:p>
        </w:tc>
      </w:tr>
      <w:tr>
        <w:trPr/>
        <w:tc>
          <w:tcPr>
            <w:tcW w:w="9000" w:type="dxa"/>
            <w:vAlign w:val="center"/>
            <w:noWrap/>
          </w:tcPr>
          <w:p>
            <w:pPr/>
            <w:r>
              <w:rPr>
                <w:sz w:val="24"/>
                <w:szCs w:val="24"/>
              </w:rPr>
              <w:t xml:space="preserve">gyalogolok</w:t>
            </w:r>
          </w:p>
        </w:tc>
        <w:tc>
          <w:tcPr>
            <w:tcW w:w="900" w:type="dxa"/>
            <w:vAlign w:val="center"/>
            <w:noWrap/>
          </w:tcPr>
          <w:p>
            <w:pPr>
              <w:jc w:val="center"/>
            </w:pPr>
            <w:r>
              <w:rPr>
                <w:sz w:val="24"/>
                <w:szCs w:val="24"/>
              </w:rPr>
              <w:t xml:space="preserve">315</w:t>
            </w:r>
          </w:p>
        </w:tc>
        <w:tc>
          <w:tcPr>
            <w:tcW w:w="900" w:type="dxa"/>
            <w:vAlign w:val="center"/>
            <w:noWrap/>
          </w:tcPr>
          <w:p>
            <w:pPr>
              <w:jc w:val="center"/>
            </w:pPr>
            <w:r>
              <w:rPr>
                <w:sz w:val="24"/>
                <w:szCs w:val="24"/>
              </w:rPr>
              <w:t xml:space="preserve">74.5%</w:t>
            </w:r>
          </w:p>
        </w:tc>
      </w:tr>
      <w:tr>
        <w:trPr/>
        <w:tc>
          <w:tcPr>
            <w:tcW w:w="9000" w:type="dxa"/>
            <w:vAlign w:val="center"/>
            <w:noWrap/>
          </w:tcPr>
          <w:p>
            <w:pPr/>
            <w:r>
              <w:rPr>
                <w:sz w:val="24"/>
                <w:szCs w:val="24"/>
              </w:rPr>
              <w:t xml:space="preserve">kerékpárral, rollerrel közlekedem</w:t>
            </w:r>
          </w:p>
        </w:tc>
        <w:tc>
          <w:tcPr>
            <w:tcW w:w="900" w:type="dxa"/>
            <w:vAlign w:val="center"/>
            <w:noWrap/>
          </w:tcPr>
          <w:p>
            <w:pPr>
              <w:jc w:val="center"/>
            </w:pPr>
            <w:r>
              <w:rPr>
                <w:sz w:val="24"/>
                <w:szCs w:val="24"/>
              </w:rPr>
              <w:t xml:space="preserve">70</w:t>
            </w:r>
          </w:p>
        </w:tc>
        <w:tc>
          <w:tcPr>
            <w:tcW w:w="900" w:type="dxa"/>
            <w:vAlign w:val="center"/>
            <w:noWrap/>
          </w:tcPr>
          <w:p>
            <w:pPr>
              <w:jc w:val="center"/>
            </w:pPr>
            <w:r>
              <w:rPr>
                <w:sz w:val="24"/>
                <w:szCs w:val="24"/>
              </w:rPr>
              <w:t xml:space="preserve">16.5%</w:t>
            </w:r>
          </w:p>
        </w:tc>
      </w:tr>
      <w:tr>
        <w:trPr/>
        <w:tc>
          <w:tcPr>
            <w:tcW w:w="9000" w:type="dxa"/>
            <w:vAlign w:val="center"/>
            <w:noWrap/>
          </w:tcPr>
          <w:p>
            <w:pPr/>
            <w:r>
              <w:rPr>
                <w:sz w:val="24"/>
                <w:szCs w:val="24"/>
              </w:rPr>
              <w:t xml:space="preserve">autóval</w:t>
            </w:r>
          </w:p>
        </w:tc>
        <w:tc>
          <w:tcPr>
            <w:tcW w:w="900" w:type="dxa"/>
            <w:vAlign w:val="center"/>
            <w:noWrap/>
          </w:tcPr>
          <w:p>
            <w:pPr>
              <w:jc w:val="center"/>
            </w:pPr>
            <w:r>
              <w:rPr>
                <w:sz w:val="24"/>
                <w:szCs w:val="24"/>
              </w:rPr>
              <w:t xml:space="preserve">264</w:t>
            </w:r>
          </w:p>
        </w:tc>
        <w:tc>
          <w:tcPr>
            <w:tcW w:w="900" w:type="dxa"/>
            <w:vAlign w:val="center"/>
            <w:noWrap/>
          </w:tcPr>
          <w:p>
            <w:pPr>
              <w:jc w:val="center"/>
            </w:pPr>
            <w:r>
              <w:rPr>
                <w:sz w:val="24"/>
                <w:szCs w:val="24"/>
              </w:rPr>
              <w:t xml:space="preserve">62.4%</w:t>
            </w:r>
          </w:p>
        </w:tc>
      </w:tr>
      <w:tr>
        <w:trPr/>
        <w:tc>
          <w:tcPr>
            <w:tcW w:w="9000" w:type="dxa"/>
            <w:vAlign w:val="center"/>
            <w:noWrap/>
          </w:tcPr>
          <w:p>
            <w:pPr/>
            <w:r>
              <w:rPr>
                <w:sz w:val="24"/>
                <w:szCs w:val="24"/>
              </w:rPr>
              <w:t xml:space="preserve">autóbusszal</w:t>
            </w:r>
          </w:p>
        </w:tc>
        <w:tc>
          <w:tcPr>
            <w:tcW w:w="900" w:type="dxa"/>
            <w:vAlign w:val="center"/>
            <w:noWrap/>
          </w:tcPr>
          <w:p>
            <w:pPr>
              <w:jc w:val="center"/>
            </w:pPr>
            <w:r>
              <w:rPr>
                <w:sz w:val="24"/>
                <w:szCs w:val="24"/>
              </w:rPr>
              <w:t xml:space="preserve">126</w:t>
            </w:r>
          </w:p>
        </w:tc>
        <w:tc>
          <w:tcPr>
            <w:tcW w:w="900" w:type="dxa"/>
            <w:vAlign w:val="center"/>
            <w:noWrap/>
          </w:tcPr>
          <w:p>
            <w:pPr>
              <w:jc w:val="center"/>
            </w:pPr>
            <w:r>
              <w:rPr>
                <w:sz w:val="24"/>
                <w:szCs w:val="24"/>
              </w:rPr>
              <w:t xml:space="preserve">29.8%</w:t>
            </w:r>
          </w:p>
        </w:tc>
      </w:tr>
    </w:tbl>
    <w:p/>
    <w:p>
      <w:pPr>
        <w:jc w:val="right"/>
      </w:pPr>
      <w:r>
        <w:rPr>
          <w:sz w:val="24"/>
          <w:szCs w:val="24"/>
          <w:b w:val="1"/>
          <w:bCs w:val="1"/>
        </w:rPr>
        <w:t xml:space="preserve">423</w:t>
      </w:r>
      <w:r>
        <w:rPr>
          <w:sz w:val="24"/>
          <w:szCs w:val="24"/>
        </w:rPr>
        <w:t xml:space="preserve"> kitöltőtől összesen </w:t>
      </w:r>
      <w:r>
        <w:rPr>
          <w:sz w:val="24"/>
          <w:szCs w:val="24"/>
          <w:b w:val="1"/>
          <w:bCs w:val="1"/>
        </w:rPr>
        <w:t xml:space="preserve">775</w:t>
      </w:r>
      <w:r>
        <w:rPr>
          <w:sz w:val="24"/>
          <w:szCs w:val="24"/>
        </w:rPr>
        <w:t xml:space="preserve"> válasz</w:t>
      </w:r>
    </w:p>
    <w:p>
      <w:r>
        <w:drawing>
          <wp:inline>
            <wp:extent cx="6858000" cy="5943600"/>
            <wp:docPr id="11" name="Chart11"/>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pPr>
        <w:sectPr>
          <w:pgSz w:orient="portrait" w:w="11905.511811023622" w:h="16837.79527559055"/>
          <w:pgMar w:top="600" w:right="600" w:bottom="600" w:left="600" w:header="720" w:footer="720" w:gutter="0"/>
          <w:cols w:num="1" w:space="720"/>
        </w:sectPr>
      </w:pPr>
    </w:p>
    <w:p>
      <w:pPr>
        <w:pStyle w:val="Heading1"/>
      </w:pPr>
      <w:bookmarkStart w:id="4" w:name="_Toc4"/>
      <w:r>
        <w:t>Szokott-e parkolni ezen a területen, vagy a szorosan vett környékén?</w:t>
      </w:r>
      <w:bookmarkEnd w:id="4"/>
    </w:p>
    <w:tbl>
      <w:tblGrid>
        <w:gridCol w:w="9000" w:type="dxa"/>
        <w:gridCol w:w="900" w:type="dxa"/>
        <w:gridCol w:w="900" w:type="dxa"/>
      </w:tblGrid>
      <w:tblPr>
        <w:tblStyle w:val="StatTable"/>
      </w:tblPr>
      <w:tr>
        <w:trPr/>
        <w:tc>
          <w:tcPr>
            <w:tcW w:w="9000" w:type="dxa"/>
            <w:vAlign w:val="center"/>
            <w:noWrap/>
          </w:tcPr>
          <w:p>
            <w:pPr/>
            <w:r>
              <w:rPr>
                <w:sz w:val="24"/>
                <w:szCs w:val="24"/>
                <w:b w:val="1"/>
                <w:bCs w:val="1"/>
              </w:rPr>
              <w:t xml:space="preserve">Válasz</w:t>
            </w:r>
          </w:p>
        </w:tc>
        <w:tc>
          <w:tcPr>
            <w:tcW w:w="900" w:type="dxa"/>
            <w:vAlign w:val="center"/>
            <w:noWrap/>
          </w:tcPr>
          <w:p>
            <w:pPr>
              <w:jc w:val="center"/>
            </w:pPr>
            <w:r>
              <w:rPr>
                <w:sz w:val="24"/>
                <w:szCs w:val="24"/>
                <w:b w:val="1"/>
                <w:bCs w:val="1"/>
              </w:rPr>
              <w:t xml:space="preserve">db</w:t>
            </w:r>
          </w:p>
        </w:tc>
        <w:tc>
          <w:tcPr>
            <w:tcW w:w="900" w:type="dxa"/>
            <w:vAlign w:val="center"/>
            <w:noWrap/>
          </w:tcPr>
          <w:p>
            <w:pPr>
              <w:jc w:val="center"/>
            </w:pPr>
            <w:r>
              <w:rPr>
                <w:sz w:val="24"/>
                <w:szCs w:val="24"/>
                <w:b w:val="1"/>
                <w:bCs w:val="1"/>
              </w:rPr>
              <w:t xml:space="preserve">%</w:t>
            </w:r>
          </w:p>
        </w:tc>
      </w:tr>
      <w:tr>
        <w:trPr/>
        <w:tc>
          <w:tcPr>
            <w:tcW w:w="9000" w:type="dxa"/>
            <w:vAlign w:val="center"/>
            <w:noWrap/>
          </w:tcPr>
          <w:p>
            <w:pPr/>
            <w:r>
              <w:rPr>
                <w:sz w:val="24"/>
                <w:szCs w:val="24"/>
              </w:rPr>
              <w:t xml:space="preserve">a közterületen parkolok rendszeresen napközben, munkaidőben</w:t>
            </w:r>
          </w:p>
        </w:tc>
        <w:tc>
          <w:tcPr>
            <w:tcW w:w="900" w:type="dxa"/>
            <w:vAlign w:val="center"/>
            <w:noWrap/>
          </w:tcPr>
          <w:p>
            <w:pPr>
              <w:jc w:val="center"/>
            </w:pPr>
            <w:r>
              <w:rPr>
                <w:sz w:val="24"/>
                <w:szCs w:val="24"/>
              </w:rPr>
              <w:t xml:space="preserve">56</w:t>
            </w:r>
          </w:p>
        </w:tc>
        <w:tc>
          <w:tcPr>
            <w:tcW w:w="900" w:type="dxa"/>
            <w:vAlign w:val="center"/>
            <w:noWrap/>
          </w:tcPr>
          <w:p>
            <w:pPr>
              <w:jc w:val="center"/>
            </w:pPr>
            <w:r>
              <w:rPr>
                <w:sz w:val="24"/>
                <w:szCs w:val="24"/>
              </w:rPr>
              <w:t xml:space="preserve">13.2%</w:t>
            </w:r>
          </w:p>
        </w:tc>
      </w:tr>
      <w:tr>
        <w:trPr/>
        <w:tc>
          <w:tcPr>
            <w:tcW w:w="9000" w:type="dxa"/>
            <w:vAlign w:val="center"/>
            <w:noWrap/>
          </w:tcPr>
          <w:p>
            <w:pPr/>
            <w:r>
              <w:rPr>
                <w:sz w:val="24"/>
                <w:szCs w:val="24"/>
              </w:rPr>
              <w:t xml:space="preserve">maximum pár órát várakozom</w:t>
            </w:r>
          </w:p>
        </w:tc>
        <w:tc>
          <w:tcPr>
            <w:tcW w:w="900" w:type="dxa"/>
            <w:vAlign w:val="center"/>
            <w:noWrap/>
          </w:tcPr>
          <w:p>
            <w:pPr>
              <w:jc w:val="center"/>
            </w:pPr>
            <w:r>
              <w:rPr>
                <w:sz w:val="24"/>
                <w:szCs w:val="24"/>
              </w:rPr>
              <w:t xml:space="preserve">118</w:t>
            </w:r>
          </w:p>
        </w:tc>
        <w:tc>
          <w:tcPr>
            <w:tcW w:w="900" w:type="dxa"/>
            <w:vAlign w:val="center"/>
            <w:noWrap/>
          </w:tcPr>
          <w:p>
            <w:pPr>
              <w:jc w:val="center"/>
            </w:pPr>
            <w:r>
              <w:rPr>
                <w:sz w:val="24"/>
                <w:szCs w:val="24"/>
              </w:rPr>
              <w:t xml:space="preserve">27.9%</w:t>
            </w:r>
          </w:p>
        </w:tc>
      </w:tr>
      <w:tr>
        <w:trPr/>
        <w:tc>
          <w:tcPr>
            <w:tcW w:w="9000" w:type="dxa"/>
            <w:vAlign w:val="center"/>
            <w:noWrap/>
          </w:tcPr>
          <w:p>
            <w:pPr/>
            <w:r>
              <w:rPr>
                <w:sz w:val="24"/>
                <w:szCs w:val="24"/>
              </w:rPr>
              <w:t xml:space="preserve">csak rövid ideig várakozom - maximum fél óra</w:t>
            </w:r>
          </w:p>
        </w:tc>
        <w:tc>
          <w:tcPr>
            <w:tcW w:w="900" w:type="dxa"/>
            <w:vAlign w:val="center"/>
            <w:noWrap/>
          </w:tcPr>
          <w:p>
            <w:pPr>
              <w:jc w:val="center"/>
            </w:pPr>
            <w:r>
              <w:rPr>
                <w:sz w:val="24"/>
                <w:szCs w:val="24"/>
              </w:rPr>
              <w:t xml:space="preserve">151</w:t>
            </w:r>
          </w:p>
        </w:tc>
        <w:tc>
          <w:tcPr>
            <w:tcW w:w="900" w:type="dxa"/>
            <w:vAlign w:val="center"/>
            <w:noWrap/>
          </w:tcPr>
          <w:p>
            <w:pPr>
              <w:jc w:val="center"/>
            </w:pPr>
            <w:r>
              <w:rPr>
                <w:sz w:val="24"/>
                <w:szCs w:val="24"/>
              </w:rPr>
              <w:t xml:space="preserve">35.7%</w:t>
            </w:r>
          </w:p>
        </w:tc>
      </w:tr>
      <w:tr>
        <w:trPr/>
        <w:tc>
          <w:tcPr>
            <w:tcW w:w="9000" w:type="dxa"/>
            <w:vAlign w:val="center"/>
            <w:noWrap/>
          </w:tcPr>
          <w:p>
            <w:pPr/>
            <w:r>
              <w:rPr>
                <w:sz w:val="24"/>
                <w:szCs w:val="24"/>
              </w:rPr>
              <w:t xml:space="preserve">nem szoktam itt parkolni</w:t>
            </w:r>
          </w:p>
        </w:tc>
        <w:tc>
          <w:tcPr>
            <w:tcW w:w="900" w:type="dxa"/>
            <w:vAlign w:val="center"/>
            <w:noWrap/>
          </w:tcPr>
          <w:p>
            <w:pPr>
              <w:jc w:val="center"/>
            </w:pPr>
            <w:r>
              <w:rPr>
                <w:sz w:val="24"/>
                <w:szCs w:val="24"/>
              </w:rPr>
              <w:t xml:space="preserve">133</w:t>
            </w:r>
          </w:p>
        </w:tc>
        <w:tc>
          <w:tcPr>
            <w:tcW w:w="900" w:type="dxa"/>
            <w:vAlign w:val="center"/>
            <w:noWrap/>
          </w:tcPr>
          <w:p>
            <w:pPr>
              <w:jc w:val="center"/>
            </w:pPr>
            <w:r>
              <w:rPr>
                <w:sz w:val="24"/>
                <w:szCs w:val="24"/>
              </w:rPr>
              <w:t xml:space="preserve">31.4%</w:t>
            </w:r>
          </w:p>
        </w:tc>
      </w:tr>
    </w:tbl>
    <w:p/>
    <w:p>
      <w:pPr>
        <w:jc w:val="right"/>
      </w:pPr>
      <w:r>
        <w:rPr>
          <w:sz w:val="24"/>
          <w:szCs w:val="24"/>
          <w:b w:val="1"/>
          <w:bCs w:val="1"/>
        </w:rPr>
        <w:t xml:space="preserve">423</w:t>
      </w:r>
      <w:r>
        <w:rPr>
          <w:sz w:val="24"/>
          <w:szCs w:val="24"/>
        </w:rPr>
        <w:t xml:space="preserve"> kitöltőtől összesen </w:t>
      </w:r>
      <w:r>
        <w:rPr>
          <w:sz w:val="24"/>
          <w:szCs w:val="24"/>
          <w:b w:val="1"/>
          <w:bCs w:val="1"/>
        </w:rPr>
        <w:t xml:space="preserve">458</w:t>
      </w:r>
      <w:r>
        <w:rPr>
          <w:sz w:val="24"/>
          <w:szCs w:val="24"/>
        </w:rPr>
        <w:t xml:space="preserve"> válasz</w:t>
      </w:r>
    </w:p>
    <w:p>
      <w:r>
        <w:drawing>
          <wp:inline>
            <wp:extent cx="6858000" cy="5943600"/>
            <wp:docPr id="12" name="Chart12"/>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pPr>
        <w:sectPr>
          <w:pgSz w:orient="portrait" w:w="11905.511811023622" w:h="16837.79527559055"/>
          <w:pgMar w:top="600" w:right="600" w:bottom="600" w:left="600" w:header="720" w:footer="720" w:gutter="0"/>
          <w:cols w:num="1" w:space="720"/>
        </w:sectPr>
      </w:pPr>
    </w:p>
    <w:p>
      <w:pPr>
        <w:pStyle w:val="Heading1"/>
      </w:pPr>
      <w:bookmarkStart w:id="5" w:name="_Toc5"/>
      <w:r>
        <w:t>A Városház térnek a Játék utca meghosszabbításában lévő útszakasza a Fáber-villa (Városház tér 13.) előtti úttól a rendőrkapitányság gépkocsibejáratáig autómentes kialakítású lesz vízjátékkal, ülőbútorokkal, kerékpártárolókkal és sok zöldfelülettel. Ez az utcarész – a gépjárműforgalom elől lezárva, attól mentesítve - sétálóutcává, közösségi tér jellegű közterületté alakul. A rendőrség gépkocsibejárata/tüdőgondozó bejárata és a Piactér közötti útszakasz csak a célforgalom számára, zsákutca jelleggel fog működni, biztosítva az itt elhelyezkedő ingatlanok megközelíthetőségét, az elektromos töltők használatát, a szolgáltatások igénybevételét. Az autóbusz változatlanul a Városháza előtti úton jön be a Városház térre, a megállója is a jelenlegi helyén marad, de nem fordul be az említett utcára, hanem egyenesen tovább menve a Pécsi utcára kanyarodik balra, majd a piac mellett, a Mihalik Sándor utcában jön vissza a Mária Terézia utca felé, és itt is a jelenlegi megállójában áll meg.Közlekedési koncepcióterv egyszerűsített tervrajzaZöldfelületi terv egyszerűsített tervrajz - Városház tér</w:t>
      </w:r>
      <w:bookmarkEnd w:id="5"/>
    </w:p>
    <w:p/>
    <w:p>
      <w:pPr>
        <w:jc w:val="right"/>
      </w:pPr>
      <w:r>
        <w:rPr>
          <w:sz w:val="24"/>
          <w:szCs w:val="24"/>
          <w:b w:val="1"/>
          <w:bCs w:val="1"/>
        </w:rPr>
        <w:t xml:space="preserve">0</w:t>
      </w:r>
      <w:r>
        <w:rPr>
          <w:sz w:val="24"/>
          <w:szCs w:val="24"/>
        </w:rPr>
        <w:t xml:space="preserve"> kitöltőtől összesen </w:t>
      </w:r>
      <w:r>
        <w:rPr>
          <w:sz w:val="24"/>
          <w:szCs w:val="24"/>
          <w:b w:val="1"/>
          <w:bCs w:val="1"/>
        </w:rPr>
        <w:t xml:space="preserve">0</w:t>
      </w:r>
      <w:r>
        <w:rPr>
          <w:sz w:val="24"/>
          <w:szCs w:val="24"/>
        </w:rPr>
        <w:t xml:space="preserve"> válasz</w:t>
      </w:r>
    </w:p>
    <w:p>
      <w:pPr>
        <w:sectPr>
          <w:pgSz w:orient="portrait" w:w="11905.511811023622" w:h="16837.79527559055"/>
          <w:pgMar w:top="600" w:right="600" w:bottom="600" w:left="600" w:header="720" w:footer="720" w:gutter="0"/>
          <w:cols w:num="1" w:space="720"/>
        </w:sectPr>
      </w:pPr>
    </w:p>
    <w:p>
      <w:pPr>
        <w:pStyle w:val="Heading1"/>
      </w:pPr>
      <w:bookmarkStart w:id="6" w:name="_Toc6"/>
      <w:r>
        <w:t>Padok:Kérjük, értékelje egyenként számokkal, milyen típusú ülőbútorokat látna szívesen a területen</w:t>
      </w:r>
      <w:bookmarkEnd w:id="6"/>
    </w:p>
    <w:tbl>
      <w:tblGrid>
        <w:gridCol w:w="9000" w:type="dxa"/>
        <w:gridCol w:w="900" w:type="dxa"/>
        <w:gridCol w:w="900" w:type="dxa"/>
      </w:tblGrid>
      <w:tblPr>
        <w:tblStyle w:val="StatTable"/>
      </w:tblPr>
      <w:tr>
        <w:trPr/>
        <w:tc>
          <w:tcPr>
            <w:tcW w:w="9000" w:type="dxa"/>
            <w:vAlign w:val="center"/>
            <w:noWrap/>
          </w:tcPr>
          <w:p>
            <w:pPr/>
            <w:r>
              <w:rPr>
                <w:sz w:val="24"/>
                <w:szCs w:val="24"/>
                <w:b w:val="1"/>
                <w:bCs w:val="1"/>
              </w:rPr>
              <w:t xml:space="preserve">Válasz</w:t>
            </w:r>
          </w:p>
        </w:tc>
        <w:tc>
          <w:tcPr>
            <w:tcW w:w="900" w:type="dxa"/>
            <w:vAlign w:val="center"/>
            <w:noWrap/>
          </w:tcPr>
          <w:p>
            <w:pPr>
              <w:jc w:val="center"/>
            </w:pPr>
            <w:r>
              <w:rPr>
                <w:sz w:val="24"/>
                <w:szCs w:val="24"/>
                <w:b w:val="1"/>
                <w:bCs w:val="1"/>
              </w:rPr>
              <w:t xml:space="preserve">db</w:t>
            </w:r>
          </w:p>
        </w:tc>
        <w:tc>
          <w:tcPr>
            <w:tcW w:w="900" w:type="dxa"/>
            <w:vAlign w:val="center"/>
            <w:noWrap/>
          </w:tcPr>
          <w:p>
            <w:pPr>
              <w:jc w:val="center"/>
            </w:pPr>
            <w:r>
              <w:rPr>
                <w:sz w:val="24"/>
                <w:szCs w:val="24"/>
                <w:b w:val="1"/>
                <w:bCs w:val="1"/>
              </w:rPr>
              <w:t xml:space="preserve">%</w:t>
            </w:r>
          </w:p>
        </w:tc>
      </w:tr>
      <w:tr>
        <w:trPr/>
        <w:tc>
          <w:tcPr>
            <w:tcW w:w="9000" w:type="dxa"/>
            <w:vAlign w:val="center"/>
            <w:gridSpan w:val="3"/>
            <w:noWrap/>
          </w:tcPr>
          <w:p>
            <w:pPr/>
            <w:r>
              <w:rPr>
                <w:sz w:val="24"/>
                <w:szCs w:val="24"/>
              </w:rPr>
              <w:t xml:space="preserve">Klasszikus padok háttámlával</w:t>
            </w:r>
          </w:p>
        </w:tc>
      </w:tr>
      <w:tr>
        <w:trPr/>
        <w:tc>
          <w:tcPr>
            <w:tcW w:w="9000" w:type="dxa"/>
            <w:vAlign w:val="center"/>
            <w:noWrap/>
          </w:tcPr>
          <w:p>
            <w:pPr/>
            <w:r>
              <w:rPr>
                <w:sz w:val="20"/>
                <w:szCs w:val="20"/>
              </w:rPr>
              <w:t xml:space="preserve">      1</w:t>
            </w:r>
          </w:p>
        </w:tc>
        <w:tc>
          <w:tcPr>
            <w:tcW w:w="900" w:type="dxa"/>
            <w:vAlign w:val="center"/>
            <w:noWrap/>
          </w:tcPr>
          <w:p>
            <w:pPr>
              <w:jc w:val="center"/>
            </w:pPr>
            <w:r>
              <w:rPr>
                <w:sz w:val="20"/>
                <w:szCs w:val="20"/>
              </w:rPr>
              <w:t xml:space="preserve">34</w:t>
            </w:r>
          </w:p>
        </w:tc>
        <w:tc>
          <w:tcPr>
            <w:tcW w:w="900" w:type="dxa"/>
            <w:vAlign w:val="center"/>
            <w:noWrap/>
          </w:tcPr>
          <w:p>
            <w:pPr>
              <w:jc w:val="center"/>
            </w:pPr>
            <w:r>
              <w:rPr>
                <w:sz w:val="20"/>
                <w:szCs w:val="20"/>
              </w:rPr>
              <w:t xml:space="preserve">8.6%</w:t>
            </w:r>
          </w:p>
        </w:tc>
      </w:tr>
      <w:tr>
        <w:trPr/>
        <w:tc>
          <w:tcPr>
            <w:tcW w:w="9000" w:type="dxa"/>
            <w:vAlign w:val="center"/>
            <w:noWrap/>
          </w:tcPr>
          <w:p>
            <w:pPr/>
            <w:r>
              <w:rPr>
                <w:sz w:val="20"/>
                <w:szCs w:val="20"/>
              </w:rPr>
              <w:t xml:space="preserve">      2</w:t>
            </w:r>
          </w:p>
        </w:tc>
        <w:tc>
          <w:tcPr>
            <w:tcW w:w="900" w:type="dxa"/>
            <w:vAlign w:val="center"/>
            <w:noWrap/>
          </w:tcPr>
          <w:p>
            <w:pPr>
              <w:jc w:val="center"/>
            </w:pPr>
            <w:r>
              <w:rPr>
                <w:sz w:val="20"/>
                <w:szCs w:val="20"/>
              </w:rPr>
              <w:t xml:space="preserve">14</w:t>
            </w:r>
          </w:p>
        </w:tc>
        <w:tc>
          <w:tcPr>
            <w:tcW w:w="900" w:type="dxa"/>
            <w:vAlign w:val="center"/>
            <w:noWrap/>
          </w:tcPr>
          <w:p>
            <w:pPr>
              <w:jc w:val="center"/>
            </w:pPr>
            <w:r>
              <w:rPr>
                <w:sz w:val="20"/>
                <w:szCs w:val="20"/>
              </w:rPr>
              <w:t xml:space="preserve">3.6%</w:t>
            </w:r>
          </w:p>
        </w:tc>
      </w:tr>
      <w:tr>
        <w:trPr/>
        <w:tc>
          <w:tcPr>
            <w:tcW w:w="9000" w:type="dxa"/>
            <w:vAlign w:val="center"/>
            <w:noWrap/>
          </w:tcPr>
          <w:p>
            <w:pPr/>
            <w:r>
              <w:rPr>
                <w:sz w:val="20"/>
                <w:szCs w:val="20"/>
              </w:rPr>
              <w:t xml:space="preserve">      3</w:t>
            </w:r>
          </w:p>
        </w:tc>
        <w:tc>
          <w:tcPr>
            <w:tcW w:w="900" w:type="dxa"/>
            <w:vAlign w:val="center"/>
            <w:noWrap/>
          </w:tcPr>
          <w:p>
            <w:pPr>
              <w:jc w:val="center"/>
            </w:pPr>
            <w:r>
              <w:rPr>
                <w:sz w:val="20"/>
                <w:szCs w:val="20"/>
              </w:rPr>
              <w:t xml:space="preserve">48</w:t>
            </w:r>
          </w:p>
        </w:tc>
        <w:tc>
          <w:tcPr>
            <w:tcW w:w="900" w:type="dxa"/>
            <w:vAlign w:val="center"/>
            <w:noWrap/>
          </w:tcPr>
          <w:p>
            <w:pPr>
              <w:jc w:val="center"/>
            </w:pPr>
            <w:r>
              <w:rPr>
                <w:sz w:val="20"/>
                <w:szCs w:val="20"/>
              </w:rPr>
              <w:t xml:space="preserve">12.2%</w:t>
            </w:r>
          </w:p>
        </w:tc>
      </w:tr>
      <w:tr>
        <w:trPr/>
        <w:tc>
          <w:tcPr>
            <w:tcW w:w="9000" w:type="dxa"/>
            <w:vAlign w:val="center"/>
            <w:noWrap/>
          </w:tcPr>
          <w:p>
            <w:pPr/>
            <w:r>
              <w:rPr>
                <w:sz w:val="20"/>
                <w:szCs w:val="20"/>
              </w:rPr>
              <w:t xml:space="preserve">      4</w:t>
            </w:r>
          </w:p>
        </w:tc>
        <w:tc>
          <w:tcPr>
            <w:tcW w:w="900" w:type="dxa"/>
            <w:vAlign w:val="center"/>
            <w:noWrap/>
          </w:tcPr>
          <w:p>
            <w:pPr>
              <w:jc w:val="center"/>
            </w:pPr>
            <w:r>
              <w:rPr>
                <w:sz w:val="20"/>
                <w:szCs w:val="20"/>
              </w:rPr>
              <w:t xml:space="preserve">58</w:t>
            </w:r>
          </w:p>
        </w:tc>
        <w:tc>
          <w:tcPr>
            <w:tcW w:w="900" w:type="dxa"/>
            <w:vAlign w:val="center"/>
            <w:noWrap/>
          </w:tcPr>
          <w:p>
            <w:pPr>
              <w:jc w:val="center"/>
            </w:pPr>
            <w:r>
              <w:rPr>
                <w:sz w:val="20"/>
                <w:szCs w:val="20"/>
              </w:rPr>
              <w:t xml:space="preserve">14.7%</w:t>
            </w:r>
          </w:p>
        </w:tc>
      </w:tr>
      <w:tr>
        <w:trPr/>
        <w:tc>
          <w:tcPr>
            <w:tcW w:w="9000" w:type="dxa"/>
            <w:vAlign w:val="center"/>
            <w:noWrap/>
          </w:tcPr>
          <w:p>
            <w:pPr/>
            <w:r>
              <w:rPr>
                <w:sz w:val="20"/>
                <w:szCs w:val="20"/>
              </w:rPr>
              <w:t xml:space="preserve">      5</w:t>
            </w:r>
          </w:p>
        </w:tc>
        <w:tc>
          <w:tcPr>
            <w:tcW w:w="900" w:type="dxa"/>
            <w:vAlign w:val="center"/>
            <w:noWrap/>
          </w:tcPr>
          <w:p>
            <w:pPr>
              <w:jc w:val="center"/>
            </w:pPr>
            <w:r>
              <w:rPr>
                <w:sz w:val="20"/>
                <w:szCs w:val="20"/>
              </w:rPr>
              <w:t xml:space="preserve">240</w:t>
            </w:r>
          </w:p>
        </w:tc>
        <w:tc>
          <w:tcPr>
            <w:tcW w:w="900" w:type="dxa"/>
            <w:vAlign w:val="center"/>
            <w:noWrap/>
          </w:tcPr>
          <w:p>
            <w:pPr>
              <w:jc w:val="center"/>
            </w:pPr>
            <w:r>
              <w:rPr>
                <w:sz w:val="20"/>
                <w:szCs w:val="20"/>
              </w:rPr>
              <w:t xml:space="preserve">60.9%</w:t>
            </w:r>
          </w:p>
        </w:tc>
      </w:tr>
      <w:tr>
        <w:trPr/>
        <w:tc>
          <w:tcPr>
            <w:tcW w:w="9000" w:type="dxa"/>
            <w:vAlign w:val="center"/>
            <w:noWrap/>
          </w:tcPr>
          <w:p/>
        </w:tc>
        <w:tc>
          <w:tcPr>
            <w:tcW w:w="900" w:type="dxa"/>
            <w:vAlign w:val="center"/>
            <w:gridSpan w:val="2"/>
            <w:noWrap/>
          </w:tcPr>
          <w:p>
            <w:pPr>
              <w:jc w:val="center"/>
            </w:pPr>
            <w:r>
              <w:rPr>
                <w:b w:val="1"/>
                <w:bCs w:val="1"/>
              </w:rPr>
              <w:t xml:space="preserve">394</w:t>
            </w:r>
          </w:p>
        </w:tc>
      </w:tr>
      <w:tr>
        <w:trPr/>
        <w:tc>
          <w:tcPr>
            <w:tcW w:w="9000" w:type="dxa"/>
            <w:vAlign w:val="center"/>
            <w:gridSpan w:val="3"/>
            <w:noWrap/>
          </w:tcPr>
          <w:p>
            <w:pPr/>
            <w:r>
              <w:rPr>
                <w:sz w:val="24"/>
                <w:szCs w:val="24"/>
              </w:rPr>
              <w:t xml:space="preserve">Egyszerű ülőtömbök (pl. beton, fa)</w:t>
            </w:r>
          </w:p>
        </w:tc>
      </w:tr>
      <w:tr>
        <w:trPr/>
        <w:tc>
          <w:tcPr>
            <w:tcW w:w="9000" w:type="dxa"/>
            <w:vAlign w:val="center"/>
            <w:noWrap/>
          </w:tcPr>
          <w:p>
            <w:pPr/>
            <w:r>
              <w:rPr>
                <w:sz w:val="20"/>
                <w:szCs w:val="20"/>
              </w:rPr>
              <w:t xml:space="preserve">      1</w:t>
            </w:r>
          </w:p>
        </w:tc>
        <w:tc>
          <w:tcPr>
            <w:tcW w:w="900" w:type="dxa"/>
            <w:vAlign w:val="center"/>
            <w:noWrap/>
          </w:tcPr>
          <w:p>
            <w:pPr>
              <w:jc w:val="center"/>
            </w:pPr>
            <w:r>
              <w:rPr>
                <w:sz w:val="20"/>
                <w:szCs w:val="20"/>
              </w:rPr>
              <w:t xml:space="preserve">121</w:t>
            </w:r>
          </w:p>
        </w:tc>
        <w:tc>
          <w:tcPr>
            <w:tcW w:w="900" w:type="dxa"/>
            <w:vAlign w:val="center"/>
            <w:noWrap/>
          </w:tcPr>
          <w:p>
            <w:pPr>
              <w:jc w:val="center"/>
            </w:pPr>
            <w:r>
              <w:rPr>
                <w:sz w:val="20"/>
                <w:szCs w:val="20"/>
              </w:rPr>
              <w:t xml:space="preserve">34.2%</w:t>
            </w:r>
          </w:p>
        </w:tc>
      </w:tr>
      <w:tr>
        <w:trPr/>
        <w:tc>
          <w:tcPr>
            <w:tcW w:w="9000" w:type="dxa"/>
            <w:vAlign w:val="center"/>
            <w:noWrap/>
          </w:tcPr>
          <w:p>
            <w:pPr/>
            <w:r>
              <w:rPr>
                <w:sz w:val="20"/>
                <w:szCs w:val="20"/>
              </w:rPr>
              <w:t xml:space="preserve">      2</w:t>
            </w:r>
          </w:p>
        </w:tc>
        <w:tc>
          <w:tcPr>
            <w:tcW w:w="900" w:type="dxa"/>
            <w:vAlign w:val="center"/>
            <w:noWrap/>
          </w:tcPr>
          <w:p>
            <w:pPr>
              <w:jc w:val="center"/>
            </w:pPr>
            <w:r>
              <w:rPr>
                <w:sz w:val="20"/>
                <w:szCs w:val="20"/>
              </w:rPr>
              <w:t xml:space="preserve">73</w:t>
            </w:r>
          </w:p>
        </w:tc>
        <w:tc>
          <w:tcPr>
            <w:tcW w:w="900" w:type="dxa"/>
            <w:vAlign w:val="center"/>
            <w:noWrap/>
          </w:tcPr>
          <w:p>
            <w:pPr>
              <w:jc w:val="center"/>
            </w:pPr>
            <w:r>
              <w:rPr>
                <w:sz w:val="20"/>
                <w:szCs w:val="20"/>
              </w:rPr>
              <w:t xml:space="preserve">20.6%</w:t>
            </w:r>
          </w:p>
        </w:tc>
      </w:tr>
      <w:tr>
        <w:trPr/>
        <w:tc>
          <w:tcPr>
            <w:tcW w:w="9000" w:type="dxa"/>
            <w:vAlign w:val="center"/>
            <w:noWrap/>
          </w:tcPr>
          <w:p>
            <w:pPr/>
            <w:r>
              <w:rPr>
                <w:sz w:val="20"/>
                <w:szCs w:val="20"/>
              </w:rPr>
              <w:t xml:space="preserve">      3</w:t>
            </w:r>
          </w:p>
        </w:tc>
        <w:tc>
          <w:tcPr>
            <w:tcW w:w="900" w:type="dxa"/>
            <w:vAlign w:val="center"/>
            <w:noWrap/>
          </w:tcPr>
          <w:p>
            <w:pPr>
              <w:jc w:val="center"/>
            </w:pPr>
            <w:r>
              <w:rPr>
                <w:sz w:val="20"/>
                <w:szCs w:val="20"/>
              </w:rPr>
              <w:t xml:space="preserve">74</w:t>
            </w:r>
          </w:p>
        </w:tc>
        <w:tc>
          <w:tcPr>
            <w:tcW w:w="900" w:type="dxa"/>
            <w:vAlign w:val="center"/>
            <w:noWrap/>
          </w:tcPr>
          <w:p>
            <w:pPr>
              <w:jc w:val="center"/>
            </w:pPr>
            <w:r>
              <w:rPr>
                <w:sz w:val="20"/>
                <w:szCs w:val="20"/>
              </w:rPr>
              <w:t xml:space="preserve">20.9%</w:t>
            </w:r>
          </w:p>
        </w:tc>
      </w:tr>
      <w:tr>
        <w:trPr/>
        <w:tc>
          <w:tcPr>
            <w:tcW w:w="9000" w:type="dxa"/>
            <w:vAlign w:val="center"/>
            <w:noWrap/>
          </w:tcPr>
          <w:p>
            <w:pPr/>
            <w:r>
              <w:rPr>
                <w:sz w:val="20"/>
                <w:szCs w:val="20"/>
              </w:rPr>
              <w:t xml:space="preserve">      4</w:t>
            </w:r>
          </w:p>
        </w:tc>
        <w:tc>
          <w:tcPr>
            <w:tcW w:w="900" w:type="dxa"/>
            <w:vAlign w:val="center"/>
            <w:noWrap/>
          </w:tcPr>
          <w:p>
            <w:pPr>
              <w:jc w:val="center"/>
            </w:pPr>
            <w:r>
              <w:rPr>
                <w:sz w:val="20"/>
                <w:szCs w:val="20"/>
              </w:rPr>
              <w:t xml:space="preserve">33</w:t>
            </w:r>
          </w:p>
        </w:tc>
        <w:tc>
          <w:tcPr>
            <w:tcW w:w="900" w:type="dxa"/>
            <w:vAlign w:val="center"/>
            <w:noWrap/>
          </w:tcPr>
          <w:p>
            <w:pPr>
              <w:jc w:val="center"/>
            </w:pPr>
            <w:r>
              <w:rPr>
                <w:sz w:val="20"/>
                <w:szCs w:val="20"/>
              </w:rPr>
              <w:t xml:space="preserve">9.3%</w:t>
            </w:r>
          </w:p>
        </w:tc>
      </w:tr>
      <w:tr>
        <w:trPr/>
        <w:tc>
          <w:tcPr>
            <w:tcW w:w="9000" w:type="dxa"/>
            <w:vAlign w:val="center"/>
            <w:noWrap/>
          </w:tcPr>
          <w:p>
            <w:pPr/>
            <w:r>
              <w:rPr>
                <w:sz w:val="20"/>
                <w:szCs w:val="20"/>
              </w:rPr>
              <w:t xml:space="preserve">      5</w:t>
            </w:r>
          </w:p>
        </w:tc>
        <w:tc>
          <w:tcPr>
            <w:tcW w:w="900" w:type="dxa"/>
            <w:vAlign w:val="center"/>
            <w:noWrap/>
          </w:tcPr>
          <w:p>
            <w:pPr>
              <w:jc w:val="center"/>
            </w:pPr>
            <w:r>
              <w:rPr>
                <w:sz w:val="20"/>
                <w:szCs w:val="20"/>
              </w:rPr>
              <w:t xml:space="preserve">53</w:t>
            </w:r>
          </w:p>
        </w:tc>
        <w:tc>
          <w:tcPr>
            <w:tcW w:w="900" w:type="dxa"/>
            <w:vAlign w:val="center"/>
            <w:noWrap/>
          </w:tcPr>
          <w:p>
            <w:pPr>
              <w:jc w:val="center"/>
            </w:pPr>
            <w:r>
              <w:rPr>
                <w:sz w:val="20"/>
                <w:szCs w:val="20"/>
              </w:rPr>
              <w:t xml:space="preserve">15%</w:t>
            </w:r>
          </w:p>
        </w:tc>
      </w:tr>
      <w:tr>
        <w:trPr/>
        <w:tc>
          <w:tcPr>
            <w:tcW w:w="9000" w:type="dxa"/>
            <w:vAlign w:val="center"/>
            <w:noWrap/>
          </w:tcPr>
          <w:p/>
        </w:tc>
        <w:tc>
          <w:tcPr>
            <w:tcW w:w="900" w:type="dxa"/>
            <w:vAlign w:val="center"/>
            <w:gridSpan w:val="2"/>
            <w:noWrap/>
          </w:tcPr>
          <w:p>
            <w:pPr>
              <w:jc w:val="center"/>
            </w:pPr>
            <w:r>
              <w:rPr>
                <w:b w:val="1"/>
                <w:bCs w:val="1"/>
              </w:rPr>
              <w:t xml:space="preserve">354</w:t>
            </w:r>
          </w:p>
        </w:tc>
      </w:tr>
      <w:tr>
        <w:trPr/>
        <w:tc>
          <w:tcPr>
            <w:tcW w:w="9000" w:type="dxa"/>
            <w:vAlign w:val="center"/>
            <w:gridSpan w:val="3"/>
            <w:noWrap/>
          </w:tcPr>
          <w:p>
            <w:pPr/>
            <w:r>
              <w:rPr>
                <w:sz w:val="24"/>
                <w:szCs w:val="24"/>
              </w:rPr>
              <w:t xml:space="preserve">Többfunkciós, USB töltős vagy wifis „okospadok"</w:t>
            </w:r>
          </w:p>
        </w:tc>
      </w:tr>
      <w:tr>
        <w:trPr/>
        <w:tc>
          <w:tcPr>
            <w:tcW w:w="9000" w:type="dxa"/>
            <w:vAlign w:val="center"/>
            <w:noWrap/>
          </w:tcPr>
          <w:p>
            <w:pPr/>
            <w:r>
              <w:rPr>
                <w:sz w:val="20"/>
                <w:szCs w:val="20"/>
              </w:rPr>
              <w:t xml:space="preserve">      1</w:t>
            </w:r>
          </w:p>
        </w:tc>
        <w:tc>
          <w:tcPr>
            <w:tcW w:w="900" w:type="dxa"/>
            <w:vAlign w:val="center"/>
            <w:noWrap/>
          </w:tcPr>
          <w:p>
            <w:pPr>
              <w:jc w:val="center"/>
            </w:pPr>
            <w:r>
              <w:rPr>
                <w:sz w:val="20"/>
                <w:szCs w:val="20"/>
              </w:rPr>
              <w:t xml:space="preserve">89</w:t>
            </w:r>
          </w:p>
        </w:tc>
        <w:tc>
          <w:tcPr>
            <w:tcW w:w="900" w:type="dxa"/>
            <w:vAlign w:val="center"/>
            <w:noWrap/>
          </w:tcPr>
          <w:p>
            <w:pPr>
              <w:jc w:val="center"/>
            </w:pPr>
            <w:r>
              <w:rPr>
                <w:sz w:val="20"/>
                <w:szCs w:val="20"/>
              </w:rPr>
              <w:t xml:space="preserve">23.9%</w:t>
            </w:r>
          </w:p>
        </w:tc>
      </w:tr>
      <w:tr>
        <w:trPr/>
        <w:tc>
          <w:tcPr>
            <w:tcW w:w="9000" w:type="dxa"/>
            <w:vAlign w:val="center"/>
            <w:noWrap/>
          </w:tcPr>
          <w:p>
            <w:pPr/>
            <w:r>
              <w:rPr>
                <w:sz w:val="20"/>
                <w:szCs w:val="20"/>
              </w:rPr>
              <w:t xml:space="preserve">      2</w:t>
            </w:r>
          </w:p>
        </w:tc>
        <w:tc>
          <w:tcPr>
            <w:tcW w:w="900" w:type="dxa"/>
            <w:vAlign w:val="center"/>
            <w:noWrap/>
          </w:tcPr>
          <w:p>
            <w:pPr>
              <w:jc w:val="center"/>
            </w:pPr>
            <w:r>
              <w:rPr>
                <w:sz w:val="20"/>
                <w:szCs w:val="20"/>
              </w:rPr>
              <w:t xml:space="preserve">30</w:t>
            </w:r>
          </w:p>
        </w:tc>
        <w:tc>
          <w:tcPr>
            <w:tcW w:w="900" w:type="dxa"/>
            <w:vAlign w:val="center"/>
            <w:noWrap/>
          </w:tcPr>
          <w:p>
            <w:pPr>
              <w:jc w:val="center"/>
            </w:pPr>
            <w:r>
              <w:rPr>
                <w:sz w:val="20"/>
                <w:szCs w:val="20"/>
              </w:rPr>
              <w:t xml:space="preserve">8%</w:t>
            </w:r>
          </w:p>
        </w:tc>
      </w:tr>
      <w:tr>
        <w:trPr/>
        <w:tc>
          <w:tcPr>
            <w:tcW w:w="9000" w:type="dxa"/>
            <w:vAlign w:val="center"/>
            <w:noWrap/>
          </w:tcPr>
          <w:p>
            <w:pPr/>
            <w:r>
              <w:rPr>
                <w:sz w:val="20"/>
                <w:szCs w:val="20"/>
              </w:rPr>
              <w:t xml:space="preserve">      3</w:t>
            </w:r>
          </w:p>
        </w:tc>
        <w:tc>
          <w:tcPr>
            <w:tcW w:w="900" w:type="dxa"/>
            <w:vAlign w:val="center"/>
            <w:noWrap/>
          </w:tcPr>
          <w:p>
            <w:pPr>
              <w:jc w:val="center"/>
            </w:pPr>
            <w:r>
              <w:rPr>
                <w:sz w:val="20"/>
                <w:szCs w:val="20"/>
              </w:rPr>
              <w:t xml:space="preserve">66</w:t>
            </w:r>
          </w:p>
        </w:tc>
        <w:tc>
          <w:tcPr>
            <w:tcW w:w="900" w:type="dxa"/>
            <w:vAlign w:val="center"/>
            <w:noWrap/>
          </w:tcPr>
          <w:p>
            <w:pPr>
              <w:jc w:val="center"/>
            </w:pPr>
            <w:r>
              <w:rPr>
                <w:sz w:val="20"/>
                <w:szCs w:val="20"/>
              </w:rPr>
              <w:t xml:space="preserve">17.7%</w:t>
            </w:r>
          </w:p>
        </w:tc>
      </w:tr>
      <w:tr>
        <w:trPr/>
        <w:tc>
          <w:tcPr>
            <w:tcW w:w="9000" w:type="dxa"/>
            <w:vAlign w:val="center"/>
            <w:noWrap/>
          </w:tcPr>
          <w:p>
            <w:pPr/>
            <w:r>
              <w:rPr>
                <w:sz w:val="20"/>
                <w:szCs w:val="20"/>
              </w:rPr>
              <w:t xml:space="preserve">      4</w:t>
            </w:r>
          </w:p>
        </w:tc>
        <w:tc>
          <w:tcPr>
            <w:tcW w:w="900" w:type="dxa"/>
            <w:vAlign w:val="center"/>
            <w:noWrap/>
          </w:tcPr>
          <w:p>
            <w:pPr>
              <w:jc w:val="center"/>
            </w:pPr>
            <w:r>
              <w:rPr>
                <w:sz w:val="20"/>
                <w:szCs w:val="20"/>
              </w:rPr>
              <w:t xml:space="preserve">49</w:t>
            </w:r>
          </w:p>
        </w:tc>
        <w:tc>
          <w:tcPr>
            <w:tcW w:w="900" w:type="dxa"/>
            <w:vAlign w:val="center"/>
            <w:noWrap/>
          </w:tcPr>
          <w:p>
            <w:pPr>
              <w:jc w:val="center"/>
            </w:pPr>
            <w:r>
              <w:rPr>
                <w:sz w:val="20"/>
                <w:szCs w:val="20"/>
              </w:rPr>
              <w:t xml:space="preserve">13.1%</w:t>
            </w:r>
          </w:p>
        </w:tc>
      </w:tr>
      <w:tr>
        <w:trPr/>
        <w:tc>
          <w:tcPr>
            <w:tcW w:w="9000" w:type="dxa"/>
            <w:vAlign w:val="center"/>
            <w:noWrap/>
          </w:tcPr>
          <w:p>
            <w:pPr/>
            <w:r>
              <w:rPr>
                <w:sz w:val="20"/>
                <w:szCs w:val="20"/>
              </w:rPr>
              <w:t xml:space="preserve">      5</w:t>
            </w:r>
          </w:p>
        </w:tc>
        <w:tc>
          <w:tcPr>
            <w:tcW w:w="900" w:type="dxa"/>
            <w:vAlign w:val="center"/>
            <w:noWrap/>
          </w:tcPr>
          <w:p>
            <w:pPr>
              <w:jc w:val="center"/>
            </w:pPr>
            <w:r>
              <w:rPr>
                <w:sz w:val="20"/>
                <w:szCs w:val="20"/>
              </w:rPr>
              <w:t xml:space="preserve">139</w:t>
            </w:r>
          </w:p>
        </w:tc>
        <w:tc>
          <w:tcPr>
            <w:tcW w:w="900" w:type="dxa"/>
            <w:vAlign w:val="center"/>
            <w:noWrap/>
          </w:tcPr>
          <w:p>
            <w:pPr>
              <w:jc w:val="center"/>
            </w:pPr>
            <w:r>
              <w:rPr>
                <w:sz w:val="20"/>
                <w:szCs w:val="20"/>
              </w:rPr>
              <w:t xml:space="preserve">37.3%</w:t>
            </w:r>
          </w:p>
        </w:tc>
      </w:tr>
      <w:tr>
        <w:trPr/>
        <w:tc>
          <w:tcPr>
            <w:tcW w:w="9000" w:type="dxa"/>
            <w:vAlign w:val="center"/>
            <w:noWrap/>
          </w:tcPr>
          <w:p/>
        </w:tc>
        <w:tc>
          <w:tcPr>
            <w:tcW w:w="900" w:type="dxa"/>
            <w:vAlign w:val="center"/>
            <w:gridSpan w:val="2"/>
            <w:noWrap/>
          </w:tcPr>
          <w:p>
            <w:pPr>
              <w:jc w:val="center"/>
            </w:pPr>
            <w:r>
              <w:rPr>
                <w:b w:val="1"/>
                <w:bCs w:val="1"/>
              </w:rPr>
              <w:t xml:space="preserve">373</w:t>
            </w:r>
          </w:p>
        </w:tc>
      </w:tr>
      <w:tr>
        <w:trPr/>
        <w:tc>
          <w:tcPr>
            <w:tcW w:w="9000" w:type="dxa"/>
            <w:vAlign w:val="center"/>
            <w:gridSpan w:val="3"/>
            <w:noWrap/>
          </w:tcPr>
          <w:p>
            <w:pPr/>
            <w:r>
              <w:rPr>
                <w:sz w:val="24"/>
                <w:szCs w:val="24"/>
              </w:rPr>
              <w:t xml:space="preserve">Pad asztallal</w:t>
            </w:r>
          </w:p>
        </w:tc>
      </w:tr>
      <w:tr>
        <w:trPr/>
        <w:tc>
          <w:tcPr>
            <w:tcW w:w="9000" w:type="dxa"/>
            <w:vAlign w:val="center"/>
            <w:noWrap/>
          </w:tcPr>
          <w:p>
            <w:pPr/>
            <w:r>
              <w:rPr>
                <w:sz w:val="20"/>
                <w:szCs w:val="20"/>
              </w:rPr>
              <w:t xml:space="preserve">      1</w:t>
            </w:r>
          </w:p>
        </w:tc>
        <w:tc>
          <w:tcPr>
            <w:tcW w:w="900" w:type="dxa"/>
            <w:vAlign w:val="center"/>
            <w:noWrap/>
          </w:tcPr>
          <w:p>
            <w:pPr>
              <w:jc w:val="center"/>
            </w:pPr>
            <w:r>
              <w:rPr>
                <w:sz w:val="20"/>
                <w:szCs w:val="20"/>
              </w:rPr>
              <w:t xml:space="preserve">52</w:t>
            </w:r>
          </w:p>
        </w:tc>
        <w:tc>
          <w:tcPr>
            <w:tcW w:w="900" w:type="dxa"/>
            <w:vAlign w:val="center"/>
            <w:noWrap/>
          </w:tcPr>
          <w:p>
            <w:pPr>
              <w:jc w:val="center"/>
            </w:pPr>
            <w:r>
              <w:rPr>
                <w:sz w:val="20"/>
                <w:szCs w:val="20"/>
              </w:rPr>
              <w:t xml:space="preserve">13.7%</w:t>
            </w:r>
          </w:p>
        </w:tc>
      </w:tr>
      <w:tr>
        <w:trPr/>
        <w:tc>
          <w:tcPr>
            <w:tcW w:w="9000" w:type="dxa"/>
            <w:vAlign w:val="center"/>
            <w:noWrap/>
          </w:tcPr>
          <w:p>
            <w:pPr/>
            <w:r>
              <w:rPr>
                <w:sz w:val="20"/>
                <w:szCs w:val="20"/>
              </w:rPr>
              <w:t xml:space="preserve">      2</w:t>
            </w:r>
          </w:p>
        </w:tc>
        <w:tc>
          <w:tcPr>
            <w:tcW w:w="900" w:type="dxa"/>
            <w:vAlign w:val="center"/>
            <w:noWrap/>
          </w:tcPr>
          <w:p>
            <w:pPr>
              <w:jc w:val="center"/>
            </w:pPr>
            <w:r>
              <w:rPr>
                <w:sz w:val="20"/>
                <w:szCs w:val="20"/>
              </w:rPr>
              <w:t xml:space="preserve">23</w:t>
            </w:r>
          </w:p>
        </w:tc>
        <w:tc>
          <w:tcPr>
            <w:tcW w:w="900" w:type="dxa"/>
            <w:vAlign w:val="center"/>
            <w:noWrap/>
          </w:tcPr>
          <w:p>
            <w:pPr>
              <w:jc w:val="center"/>
            </w:pPr>
            <w:r>
              <w:rPr>
                <w:sz w:val="20"/>
                <w:szCs w:val="20"/>
              </w:rPr>
              <w:t xml:space="preserve">6.1%</w:t>
            </w:r>
          </w:p>
        </w:tc>
      </w:tr>
      <w:tr>
        <w:trPr/>
        <w:tc>
          <w:tcPr>
            <w:tcW w:w="9000" w:type="dxa"/>
            <w:vAlign w:val="center"/>
            <w:noWrap/>
          </w:tcPr>
          <w:p>
            <w:pPr/>
            <w:r>
              <w:rPr>
                <w:sz w:val="20"/>
                <w:szCs w:val="20"/>
              </w:rPr>
              <w:t xml:space="preserve">      3</w:t>
            </w:r>
          </w:p>
        </w:tc>
        <w:tc>
          <w:tcPr>
            <w:tcW w:w="900" w:type="dxa"/>
            <w:vAlign w:val="center"/>
            <w:noWrap/>
          </w:tcPr>
          <w:p>
            <w:pPr>
              <w:jc w:val="center"/>
            </w:pPr>
            <w:r>
              <w:rPr>
                <w:sz w:val="20"/>
                <w:szCs w:val="20"/>
              </w:rPr>
              <w:t xml:space="preserve">74</w:t>
            </w:r>
          </w:p>
        </w:tc>
        <w:tc>
          <w:tcPr>
            <w:tcW w:w="900" w:type="dxa"/>
            <w:vAlign w:val="center"/>
            <w:noWrap/>
          </w:tcPr>
          <w:p>
            <w:pPr>
              <w:jc w:val="center"/>
            </w:pPr>
            <w:r>
              <w:rPr>
                <w:sz w:val="20"/>
                <w:szCs w:val="20"/>
              </w:rPr>
              <w:t xml:space="preserve">19.5%</w:t>
            </w:r>
          </w:p>
        </w:tc>
      </w:tr>
      <w:tr>
        <w:trPr/>
        <w:tc>
          <w:tcPr>
            <w:tcW w:w="9000" w:type="dxa"/>
            <w:vAlign w:val="center"/>
            <w:noWrap/>
          </w:tcPr>
          <w:p>
            <w:pPr/>
            <w:r>
              <w:rPr>
                <w:sz w:val="20"/>
                <w:szCs w:val="20"/>
              </w:rPr>
              <w:t xml:space="preserve">      4</w:t>
            </w:r>
          </w:p>
        </w:tc>
        <w:tc>
          <w:tcPr>
            <w:tcW w:w="900" w:type="dxa"/>
            <w:vAlign w:val="center"/>
            <w:noWrap/>
          </w:tcPr>
          <w:p>
            <w:pPr>
              <w:jc w:val="center"/>
            </w:pPr>
            <w:r>
              <w:rPr>
                <w:sz w:val="20"/>
                <w:szCs w:val="20"/>
              </w:rPr>
              <w:t xml:space="preserve">66</w:t>
            </w:r>
          </w:p>
        </w:tc>
        <w:tc>
          <w:tcPr>
            <w:tcW w:w="900" w:type="dxa"/>
            <w:vAlign w:val="center"/>
            <w:noWrap/>
          </w:tcPr>
          <w:p>
            <w:pPr>
              <w:jc w:val="center"/>
            </w:pPr>
            <w:r>
              <w:rPr>
                <w:sz w:val="20"/>
                <w:szCs w:val="20"/>
              </w:rPr>
              <w:t xml:space="preserve">17.4%</w:t>
            </w:r>
          </w:p>
        </w:tc>
      </w:tr>
      <w:tr>
        <w:trPr/>
        <w:tc>
          <w:tcPr>
            <w:tcW w:w="9000" w:type="dxa"/>
            <w:vAlign w:val="center"/>
            <w:noWrap/>
          </w:tcPr>
          <w:p>
            <w:pPr/>
            <w:r>
              <w:rPr>
                <w:sz w:val="20"/>
                <w:szCs w:val="20"/>
              </w:rPr>
              <w:t xml:space="preserve">      5</w:t>
            </w:r>
          </w:p>
        </w:tc>
        <w:tc>
          <w:tcPr>
            <w:tcW w:w="900" w:type="dxa"/>
            <w:vAlign w:val="center"/>
            <w:noWrap/>
          </w:tcPr>
          <w:p>
            <w:pPr>
              <w:jc w:val="center"/>
            </w:pPr>
            <w:r>
              <w:rPr>
                <w:sz w:val="20"/>
                <w:szCs w:val="20"/>
              </w:rPr>
              <w:t xml:space="preserve">165</w:t>
            </w:r>
          </w:p>
        </w:tc>
        <w:tc>
          <w:tcPr>
            <w:tcW w:w="900" w:type="dxa"/>
            <w:vAlign w:val="center"/>
            <w:noWrap/>
          </w:tcPr>
          <w:p>
            <w:pPr>
              <w:jc w:val="center"/>
            </w:pPr>
            <w:r>
              <w:rPr>
                <w:sz w:val="20"/>
                <w:szCs w:val="20"/>
              </w:rPr>
              <w:t xml:space="preserve">43.4%</w:t>
            </w:r>
          </w:p>
        </w:tc>
      </w:tr>
      <w:tr>
        <w:trPr/>
        <w:tc>
          <w:tcPr>
            <w:tcW w:w="9000" w:type="dxa"/>
            <w:vAlign w:val="center"/>
            <w:noWrap/>
          </w:tcPr>
          <w:p/>
        </w:tc>
        <w:tc>
          <w:tcPr>
            <w:tcW w:w="900" w:type="dxa"/>
            <w:vAlign w:val="center"/>
            <w:gridSpan w:val="2"/>
            <w:noWrap/>
          </w:tcPr>
          <w:p>
            <w:pPr>
              <w:jc w:val="center"/>
            </w:pPr>
            <w:r>
              <w:rPr>
                <w:b w:val="1"/>
                <w:bCs w:val="1"/>
              </w:rPr>
              <w:t xml:space="preserve">380</w:t>
            </w:r>
          </w:p>
        </w:tc>
      </w:tr>
      <w:tr>
        <w:trPr/>
        <w:tc>
          <w:tcPr>
            <w:tcW w:w="9000" w:type="dxa"/>
            <w:vAlign w:val="center"/>
            <w:gridSpan w:val="3"/>
            <w:noWrap/>
          </w:tcPr>
          <w:p>
            <w:pPr/>
            <w:r>
              <w:rPr>
                <w:sz w:val="24"/>
                <w:szCs w:val="24"/>
              </w:rPr>
              <w:t xml:space="preserve">Egyéb, játékos megoldások</w:t>
            </w:r>
          </w:p>
        </w:tc>
      </w:tr>
      <w:tr>
        <w:trPr/>
        <w:tc>
          <w:tcPr>
            <w:tcW w:w="9000" w:type="dxa"/>
            <w:vAlign w:val="center"/>
            <w:noWrap/>
          </w:tcPr>
          <w:p>
            <w:pPr/>
            <w:r>
              <w:rPr>
                <w:sz w:val="20"/>
                <w:szCs w:val="20"/>
              </w:rPr>
              <w:t xml:space="preserve">      1</w:t>
            </w:r>
          </w:p>
        </w:tc>
        <w:tc>
          <w:tcPr>
            <w:tcW w:w="900" w:type="dxa"/>
            <w:vAlign w:val="center"/>
            <w:noWrap/>
          </w:tcPr>
          <w:p>
            <w:pPr>
              <w:jc w:val="center"/>
            </w:pPr>
            <w:r>
              <w:rPr>
                <w:sz w:val="20"/>
                <w:szCs w:val="20"/>
              </w:rPr>
              <w:t xml:space="preserve">45</w:t>
            </w:r>
          </w:p>
        </w:tc>
        <w:tc>
          <w:tcPr>
            <w:tcW w:w="900" w:type="dxa"/>
            <w:vAlign w:val="center"/>
            <w:noWrap/>
          </w:tcPr>
          <w:p>
            <w:pPr>
              <w:jc w:val="center"/>
            </w:pPr>
            <w:r>
              <w:rPr>
                <w:sz w:val="20"/>
                <w:szCs w:val="20"/>
              </w:rPr>
              <w:t xml:space="preserve">12.5%</w:t>
            </w:r>
          </w:p>
        </w:tc>
      </w:tr>
      <w:tr>
        <w:trPr/>
        <w:tc>
          <w:tcPr>
            <w:tcW w:w="9000" w:type="dxa"/>
            <w:vAlign w:val="center"/>
            <w:noWrap/>
          </w:tcPr>
          <w:p>
            <w:pPr/>
            <w:r>
              <w:rPr>
                <w:sz w:val="20"/>
                <w:szCs w:val="20"/>
              </w:rPr>
              <w:t xml:space="preserve">      2</w:t>
            </w:r>
          </w:p>
        </w:tc>
        <w:tc>
          <w:tcPr>
            <w:tcW w:w="900" w:type="dxa"/>
            <w:vAlign w:val="center"/>
            <w:noWrap/>
          </w:tcPr>
          <w:p>
            <w:pPr>
              <w:jc w:val="center"/>
            </w:pPr>
            <w:r>
              <w:rPr>
                <w:sz w:val="20"/>
                <w:szCs w:val="20"/>
              </w:rPr>
              <w:t xml:space="preserve">31</w:t>
            </w:r>
          </w:p>
        </w:tc>
        <w:tc>
          <w:tcPr>
            <w:tcW w:w="900" w:type="dxa"/>
            <w:vAlign w:val="center"/>
            <w:noWrap/>
          </w:tcPr>
          <w:p>
            <w:pPr>
              <w:jc w:val="center"/>
            </w:pPr>
            <w:r>
              <w:rPr>
                <w:sz w:val="20"/>
                <w:szCs w:val="20"/>
              </w:rPr>
              <w:t xml:space="preserve">8.6%</w:t>
            </w:r>
          </w:p>
        </w:tc>
      </w:tr>
      <w:tr>
        <w:trPr/>
        <w:tc>
          <w:tcPr>
            <w:tcW w:w="9000" w:type="dxa"/>
            <w:vAlign w:val="center"/>
            <w:noWrap/>
          </w:tcPr>
          <w:p>
            <w:pPr/>
            <w:r>
              <w:rPr>
                <w:sz w:val="20"/>
                <w:szCs w:val="20"/>
              </w:rPr>
              <w:t xml:space="preserve">      3</w:t>
            </w:r>
          </w:p>
        </w:tc>
        <w:tc>
          <w:tcPr>
            <w:tcW w:w="900" w:type="dxa"/>
            <w:vAlign w:val="center"/>
            <w:noWrap/>
          </w:tcPr>
          <w:p>
            <w:pPr>
              <w:jc w:val="center"/>
            </w:pPr>
            <w:r>
              <w:rPr>
                <w:sz w:val="20"/>
                <w:szCs w:val="20"/>
              </w:rPr>
              <w:t xml:space="preserve">69</w:t>
            </w:r>
          </w:p>
        </w:tc>
        <w:tc>
          <w:tcPr>
            <w:tcW w:w="900" w:type="dxa"/>
            <w:vAlign w:val="center"/>
            <w:noWrap/>
          </w:tcPr>
          <w:p>
            <w:pPr>
              <w:jc w:val="center"/>
            </w:pPr>
            <w:r>
              <w:rPr>
                <w:sz w:val="20"/>
                <w:szCs w:val="20"/>
              </w:rPr>
              <w:t xml:space="preserve">19.2%</w:t>
            </w:r>
          </w:p>
        </w:tc>
      </w:tr>
      <w:tr>
        <w:trPr/>
        <w:tc>
          <w:tcPr>
            <w:tcW w:w="9000" w:type="dxa"/>
            <w:vAlign w:val="center"/>
            <w:noWrap/>
          </w:tcPr>
          <w:p>
            <w:pPr/>
            <w:r>
              <w:rPr>
                <w:sz w:val="20"/>
                <w:szCs w:val="20"/>
              </w:rPr>
              <w:t xml:space="preserve">      4</w:t>
            </w:r>
          </w:p>
        </w:tc>
        <w:tc>
          <w:tcPr>
            <w:tcW w:w="900" w:type="dxa"/>
            <w:vAlign w:val="center"/>
            <w:noWrap/>
          </w:tcPr>
          <w:p>
            <w:pPr>
              <w:jc w:val="center"/>
            </w:pPr>
            <w:r>
              <w:rPr>
                <w:sz w:val="20"/>
                <w:szCs w:val="20"/>
              </w:rPr>
              <w:t xml:space="preserve">59</w:t>
            </w:r>
          </w:p>
        </w:tc>
        <w:tc>
          <w:tcPr>
            <w:tcW w:w="900" w:type="dxa"/>
            <w:vAlign w:val="center"/>
            <w:noWrap/>
          </w:tcPr>
          <w:p>
            <w:pPr>
              <w:jc w:val="center"/>
            </w:pPr>
            <w:r>
              <w:rPr>
                <w:sz w:val="20"/>
                <w:szCs w:val="20"/>
              </w:rPr>
              <w:t xml:space="preserve">16.4%</w:t>
            </w:r>
          </w:p>
        </w:tc>
      </w:tr>
      <w:tr>
        <w:trPr/>
        <w:tc>
          <w:tcPr>
            <w:tcW w:w="9000" w:type="dxa"/>
            <w:vAlign w:val="center"/>
            <w:noWrap/>
          </w:tcPr>
          <w:p>
            <w:pPr/>
            <w:r>
              <w:rPr>
                <w:sz w:val="20"/>
                <w:szCs w:val="20"/>
              </w:rPr>
              <w:t xml:space="preserve">      5</w:t>
            </w:r>
          </w:p>
        </w:tc>
        <w:tc>
          <w:tcPr>
            <w:tcW w:w="900" w:type="dxa"/>
            <w:vAlign w:val="center"/>
            <w:noWrap/>
          </w:tcPr>
          <w:p>
            <w:pPr>
              <w:jc w:val="center"/>
            </w:pPr>
            <w:r>
              <w:rPr>
                <w:sz w:val="20"/>
                <w:szCs w:val="20"/>
              </w:rPr>
              <w:t xml:space="preserve">155</w:t>
            </w:r>
          </w:p>
        </w:tc>
        <w:tc>
          <w:tcPr>
            <w:tcW w:w="900" w:type="dxa"/>
            <w:vAlign w:val="center"/>
            <w:noWrap/>
          </w:tcPr>
          <w:p>
            <w:pPr>
              <w:jc w:val="center"/>
            </w:pPr>
            <w:r>
              <w:rPr>
                <w:sz w:val="20"/>
                <w:szCs w:val="20"/>
              </w:rPr>
              <w:t xml:space="preserve">43.2%</w:t>
            </w:r>
          </w:p>
        </w:tc>
      </w:tr>
      <w:tr>
        <w:trPr/>
        <w:tc>
          <w:tcPr>
            <w:tcW w:w="9000" w:type="dxa"/>
            <w:vAlign w:val="center"/>
            <w:noWrap/>
          </w:tcPr>
          <w:p/>
        </w:tc>
        <w:tc>
          <w:tcPr>
            <w:tcW w:w="900" w:type="dxa"/>
            <w:vAlign w:val="center"/>
            <w:gridSpan w:val="2"/>
            <w:noWrap/>
          </w:tcPr>
          <w:p>
            <w:pPr>
              <w:jc w:val="center"/>
            </w:pPr>
            <w:r>
              <w:rPr>
                <w:b w:val="1"/>
                <w:bCs w:val="1"/>
              </w:rPr>
              <w:t xml:space="preserve">359</w:t>
            </w:r>
          </w:p>
        </w:tc>
      </w:tr>
    </w:tbl>
    <w:p/>
    <w:p>
      <w:pPr>
        <w:jc w:val="right"/>
      </w:pPr>
      <w:r>
        <w:rPr>
          <w:sz w:val="24"/>
          <w:szCs w:val="24"/>
          <w:b w:val="1"/>
          <w:bCs w:val="1"/>
        </w:rPr>
        <w:t xml:space="preserve">421</w:t>
      </w:r>
      <w:r>
        <w:rPr>
          <w:sz w:val="24"/>
          <w:szCs w:val="24"/>
        </w:rPr>
        <w:t xml:space="preserve"> kitöltőtől összesen </w:t>
      </w:r>
      <w:r>
        <w:rPr>
          <w:sz w:val="24"/>
          <w:szCs w:val="24"/>
          <w:b w:val="1"/>
          <w:bCs w:val="1"/>
        </w:rPr>
        <w:t xml:space="preserve">1860</w:t>
      </w:r>
      <w:r>
        <w:rPr>
          <w:sz w:val="24"/>
          <w:szCs w:val="24"/>
        </w:rPr>
        <w:t xml:space="preserve"> válasz</w:t>
      </w:r>
    </w:p>
    <w:p>
      <w:r>
        <w:drawing>
          <wp:inline>
            <wp:extent cx="6858000" cy="5943600"/>
            <wp:docPr id="13" name="Chart13"/>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r>
        <w:rPr>
          <w:sz w:val="24"/>
          <w:szCs w:val="24"/>
          <w:b w:val="1"/>
          <w:bCs w:val="1"/>
        </w:rPr>
        <w:t xml:space="preserve">"Egyéb" válaszok (44):</w:t>
      </w:r>
    </w:p>
    <w:p>
      <w:pPr>
        <w:numPr>
          <w:ilvl w:val="0"/>
          <w:numId w:val="4"/>
        </w:numPr>
      </w:pPr>
      <w:r>
        <w:rPr/>
        <w:t xml:space="preserve">karfás székek vagy padok, ahonnan mozgássérültként is fel tudok állni és sok szék mert csak néhány lépést tudok menni.</w:t>
      </w:r>
    </w:p>
    <w:p>
      <w:pPr>
        <w:numPr>
          <w:ilvl w:val="0"/>
          <w:numId w:val="4"/>
        </w:numPr>
      </w:pPr>
      <w:r>
        <w:rPr/>
        <w:t xml:space="preserve">Semmilyet</w:t>
      </w:r>
    </w:p>
    <w:p>
      <w:pPr>
        <w:numPr>
          <w:ilvl w:val="0"/>
          <w:numId w:val="4"/>
        </w:numPr>
      </w:pPr>
      <w:r>
        <w:rPr/>
        <w:t xml:space="preserve">Nem támogatom egyiket sem</w:t>
      </w:r>
    </w:p>
    <w:p>
      <w:pPr>
        <w:numPr>
          <w:ilvl w:val="0"/>
          <w:numId w:val="4"/>
        </w:numPr>
      </w:pPr>
      <w:r>
        <w:rPr/>
        <w:t xml:space="preserve">sakkasztal</w:t>
      </w:r>
    </w:p>
    <w:p>
      <w:pPr>
        <w:numPr>
          <w:ilvl w:val="0"/>
          <w:numId w:val="4"/>
        </w:numPr>
      </w:pPr>
      <w:r>
        <w:rPr/>
        <w:t xml:space="preserve">Pingpong asztal</w:t>
      </w:r>
    </w:p>
    <w:p>
      <w:pPr>
        <w:numPr>
          <w:ilvl w:val="0"/>
          <w:numId w:val="4"/>
        </w:numPr>
      </w:pPr>
      <w:r>
        <w:rPr/>
        <w:t xml:space="preserve">egy parkba ne Wifi-zni járjanak az emberek, hanem a természetszépségéért! Viszont kitennék stílusos, - "golyóálló" - madáretetőket.</w:t>
      </w:r>
    </w:p>
    <w:p>
      <w:pPr>
        <w:numPr>
          <w:ilvl w:val="0"/>
          <w:numId w:val="4"/>
        </w:numPr>
      </w:pPr>
      <w:r>
        <w:rPr/>
        <w:t xml:space="preserve">Az fontos lenne, hogy az autós lehetőségeket ne rontsa tovább</w:t>
      </w:r>
    </w:p>
    <w:p>
      <w:pPr>
        <w:numPr>
          <w:ilvl w:val="0"/>
          <w:numId w:val="4"/>
        </w:numPr>
      </w:pPr>
      <w:r>
        <w:rPr/>
        <w:t xml:space="preserve">Kerekded kövek</w:t>
      </w:r>
    </w:p>
    <w:p>
      <w:pPr>
        <w:numPr>
          <w:ilvl w:val="0"/>
          <w:numId w:val="4"/>
        </w:numPr>
      </w:pPr>
      <w:r>
        <w:rPr/>
        <w:t xml:space="preserve">Fontos, hogy ne engedjék hajléktalanok szálláshelyévé tenni. Padok felett napvédők (árnyékolók) legyenek.</w:t>
      </w:r>
    </w:p>
    <w:p>
      <w:pPr>
        <w:numPr>
          <w:ilvl w:val="0"/>
          <w:numId w:val="4"/>
        </w:numPr>
      </w:pPr>
      <w:r>
        <w:rPr/>
        <w:t xml:space="preserve">olyan butorok, melyeket könnyen lehet tisztán tartani</w:t>
      </w:r>
    </w:p>
    <w:p>
      <w:pPr>
        <w:numPr>
          <w:ilvl w:val="0"/>
          <w:numId w:val="4"/>
        </w:numPr>
      </w:pPr>
      <w:r>
        <w:rPr/>
        <w:t xml:space="preserve">Minden típusú megoldásból lehetne1-1</w:t>
      </w:r>
    </w:p>
    <w:p>
      <w:pPr>
        <w:numPr>
          <w:ilvl w:val="0"/>
          <w:numId w:val="4"/>
        </w:numPr>
      </w:pPr>
      <w:r>
        <w:rPr/>
        <w:t xml:space="preserve">ülőpad tetővel (esővédett)</w:t>
      </w:r>
    </w:p>
    <w:p>
      <w:pPr>
        <w:numPr>
          <w:ilvl w:val="0"/>
          <w:numId w:val="4"/>
        </w:numPr>
      </w:pPr>
      <w:r>
        <w:rPr/>
        <w:t xml:space="preserve">hintszék, függőszék, függőfotel</w:t>
      </w:r>
    </w:p>
    <w:p>
      <w:pPr>
        <w:numPr>
          <w:ilvl w:val="0"/>
          <w:numId w:val="4"/>
        </w:numPr>
      </w:pPr>
      <w:r>
        <w:rPr/>
        <w:t xml:space="preserve">a piacnál az esti hajlékonytanyát/bulinegyedet kellene először felszámolni a padoknál</w:t>
      </w:r>
    </w:p>
    <w:p>
      <w:pPr>
        <w:numPr>
          <w:ilvl w:val="0"/>
          <w:numId w:val="4"/>
        </w:numPr>
      </w:pPr>
      <w:r>
        <w:rPr/>
        <w:t xml:space="preserve">Is</w:t>
      </w:r>
    </w:p>
    <w:p>
      <w:pPr>
        <w:numPr>
          <w:ilvl w:val="0"/>
          <w:numId w:val="4"/>
        </w:numPr>
      </w:pPr>
      <w:r>
        <w:rPr/>
        <w:t xml:space="preserve">Fekhely lehetetlen háttámlás padok, utcai "fotel" csoportok</w:t>
      </w:r>
    </w:p>
    <w:p>
      <w:pPr>
        <w:numPr>
          <w:ilvl w:val="0"/>
          <w:numId w:val="4"/>
        </w:numPr>
      </w:pPr>
      <w:r>
        <w:rPr/>
        <w:t xml:space="preserve">https://www.mdpi.com/2071-1050/16/20/9096</w:t>
      </w:r>
    </w:p>
    <w:p>
      <w:pPr>
        <w:numPr>
          <w:ilvl w:val="0"/>
          <w:numId w:val="4"/>
        </w:numPr>
      </w:pPr>
      <w:r>
        <w:rPr/>
        <w:t xml:space="preserve">mozgáskorlátozott (kerekes szék) barát is legyen</w:t>
      </w:r>
    </w:p>
    <w:p>
      <w:pPr>
        <w:numPr>
          <w:ilvl w:val="0"/>
          <w:numId w:val="4"/>
        </w:numPr>
      </w:pPr>
      <w:r>
        <w:rPr/>
        <w:t xml:space="preserve">Meg kell oldani, hogy a hajléktalanok ne foglalják el a padokat a piactérhez hasonlóan.</w:t>
      </w:r>
    </w:p>
    <w:p>
      <w:pPr>
        <w:numPr>
          <w:ilvl w:val="0"/>
          <w:numId w:val="4"/>
        </w:numPr>
      </w:pPr>
      <w:r>
        <w:rPr/>
        <w:t xml:space="preserve">Asztal sakktáblával</w:t>
      </w:r>
    </w:p>
    <w:p>
      <w:pPr>
        <w:numPr>
          <w:ilvl w:val="0"/>
          <w:numId w:val="4"/>
        </w:numPr>
      </w:pPr>
      <w:r>
        <w:rPr/>
        <w:t xml:space="preserve">A sok helyi csöves úgyis birtokba veszi ezeket, mint most a piactéren. Minden reggel ott iszogatnak stb.</w:t>
      </w:r>
    </w:p>
    <w:p>
      <w:pPr>
        <w:numPr>
          <w:ilvl w:val="0"/>
          <w:numId w:val="4"/>
        </w:numPr>
      </w:pPr>
      <w:r>
        <w:rPr/>
        <w:t xml:space="preserve">pl. Fa állatformák, háttámlán idézetekkel, mint Szentendrén.</w:t>
      </w:r>
    </w:p>
    <w:p>
      <w:pPr>
        <w:numPr>
          <w:ilvl w:val="0"/>
          <w:numId w:val="4"/>
        </w:numPr>
      </w:pPr>
      <w:r>
        <w:rPr/>
        <w:t xml:space="preserve">Gyerekek számára játékos padok/mászó felületek</w:t>
      </w:r>
    </w:p>
    <w:p>
      <w:pPr>
        <w:numPr>
          <w:ilvl w:val="0"/>
          <w:numId w:val="4"/>
        </w:numPr>
      </w:pPr>
      <w:r>
        <w:rPr/>
        <w:t xml:space="preserve">Normál padok, és Okospadot kialakításába tudok segíteni.12 éve van fémipari vállalkozásom a kerületben.Bármit legyártok.pl a pirosra festet kupak gyűjtő szívet is én csináltam 😀 amit a városház téren használnak évek óta.fémiparban szívesen gyártok bármit. Legyen az bicigli tároló, normál pad, okospad, villanyoszlop.Bizalommal keressenek ha érdekes lehet számukra.</w:t>
      </w:r>
    </w:p>
    <w:p>
      <w:pPr>
        <w:numPr>
          <w:ilvl w:val="0"/>
          <w:numId w:val="4"/>
        </w:numPr>
      </w:pPr>
      <w:r>
        <w:rPr/>
        <w:t xml:space="preserve">Egy két játék a gyerekeknek, mint pl. a tanösvényeken is vannak</w:t>
      </w:r>
    </w:p>
    <w:p>
      <w:pPr/>
      <w:r>
        <w:rPr>
          <w:sz w:val="24"/>
          <w:szCs w:val="24"/>
          <w:i w:val="1"/>
          <w:iCs w:val="1"/>
        </w:rPr>
        <w:t xml:space="preserve">További 19 válasz megtekintéséhez válassza az: "Excel CSV teljes" exportálási típust.</w:t>
      </w:r>
    </w:p>
    <w:p>
      <w:pPr>
        <w:sectPr>
          <w:pgSz w:orient="portrait" w:w="11905.511811023622" w:h="16837.79527559055"/>
          <w:pgMar w:top="600" w:right="600" w:bottom="600" w:left="600" w:header="720" w:footer="720" w:gutter="0"/>
          <w:cols w:num="1" w:space="720"/>
        </w:sectPr>
      </w:pPr>
    </w:p>
    <w:p>
      <w:pPr>
        <w:pStyle w:val="Heading1"/>
      </w:pPr>
      <w:bookmarkStart w:id="7" w:name="_Toc7"/>
      <w:r>
        <w:t>Van-e konkrét ötlete, hová helyezne el bútorokat?</w:t>
      </w:r>
      <w:bookmarkEnd w:id="7"/>
    </w:p>
    <w:tbl>
      <w:tblGrid>
        <w:gridCol w:w="11000" w:type="dxa"/>
      </w:tblGrid>
      <w:tblPr>
        <w:tblStyle w:val="TextTable"/>
      </w:tblPr>
      <w:tr>
        <w:trPr/>
        <w:tc>
          <w:tcPr>
            <w:tcW w:w="11000" w:type="dxa"/>
            <w:vAlign w:val="center"/>
            <w:noWrap/>
          </w:tcPr>
          <w:p>
            <w:pPr/>
            <w:r>
              <w:rPr/>
              <w:t xml:space="preserve">Mindenkép olyan padokt lenne célszerű elhelyezni, amin nem lehet feküdni</w:t>
            </w:r>
          </w:p>
        </w:tc>
      </w:tr>
      <w:tr>
        <w:trPr/>
        <w:tc>
          <w:tcPr>
            <w:tcW w:w="11000" w:type="dxa"/>
            <w:vAlign w:val="center"/>
            <w:noWrap/>
          </w:tcPr>
          <w:p>
            <w:pPr/>
            <w:r>
              <w:rPr/>
              <w:t xml:space="preserve">nincs</w:t>
            </w:r>
          </w:p>
        </w:tc>
      </w:tr>
      <w:tr>
        <w:trPr/>
        <w:tc>
          <w:tcPr>
            <w:tcW w:w="11000" w:type="dxa"/>
            <w:vAlign w:val="center"/>
            <w:noWrap/>
          </w:tcPr>
          <w:p>
            <w:pPr/>
            <w:r>
              <w:rPr/>
              <w:t xml:space="preserve">Elég sürün egymás mellé,hogy mindenki kényelmesen leülhessen. Nekem az a fontos,hogy elérjem autóval az SZTK-t, postát, piacot, rendőrséget Városházát és több mozgássérült parkoló legyen.</w:t>
            </w:r>
          </w:p>
        </w:tc>
      </w:tr>
      <w:tr>
        <w:trPr/>
        <w:tc>
          <w:tcPr>
            <w:tcW w:w="11000" w:type="dxa"/>
            <w:vAlign w:val="center"/>
            <w:noWrap/>
          </w:tcPr>
          <w:p>
            <w:pPr/>
            <w:r>
              <w:rPr/>
              <w:t xml:space="preserve">Olyan, éjszakára zárható, napközben kamerán figyelhető részre, hogy hajléktalanok, ittas, drogos emberek ne használhassák, ne koszolhassák össze, mint a Piac téri asztalos padokat.</w:t>
            </w:r>
          </w:p>
        </w:tc>
      </w:tr>
      <w:tr>
        <w:trPr/>
        <w:tc>
          <w:tcPr>
            <w:tcW w:w="11000" w:type="dxa"/>
            <w:vAlign w:val="center"/>
            <w:noWrap/>
          </w:tcPr>
          <w:p>
            <w:pPr/>
            <w:r>
              <w:rPr/>
              <w:t xml:space="preserve">Sehová</w:t>
            </w:r>
          </w:p>
        </w:tc>
      </w:tr>
      <w:tr>
        <w:trPr/>
        <w:tc>
          <w:tcPr>
            <w:tcW w:w="11000" w:type="dxa"/>
            <w:vAlign w:val="center"/>
            <w:noWrap/>
          </w:tcPr>
          <w:p>
            <w:pPr/>
            <w:r>
              <w:rPr/>
              <w:t xml:space="preserve">Olyan helyre raknám őket, ami nagyobb zöldfelületre néz vagy esetleg a domboldal felé</w:t>
            </w:r>
          </w:p>
        </w:tc>
      </w:tr>
      <w:tr>
        <w:trPr/>
        <w:tc>
          <w:tcPr>
            <w:tcW w:w="11000" w:type="dxa"/>
            <w:vAlign w:val="center"/>
            <w:noWrap/>
          </w:tcPr>
          <w:p>
            <w:pPr/>
            <w:r>
              <w:rPr/>
              <w:t xml:space="preserve">lehetőleg minél töb helyre</w:t>
            </w:r>
          </w:p>
        </w:tc>
      </w:tr>
      <w:tr>
        <w:trPr/>
        <w:tc>
          <w:tcPr>
            <w:tcW w:w="11000" w:type="dxa"/>
            <w:vAlign w:val="center"/>
            <w:noWrap/>
          </w:tcPr>
          <w:p>
            <w:pPr/>
            <w:r>
              <w:rPr/>
              <w:t xml:space="preserve">A járdák mentén</w:t>
            </w:r>
          </w:p>
        </w:tc>
      </w:tr>
      <w:tr>
        <w:trPr/>
        <w:tc>
          <w:tcPr>
            <w:tcW w:w="11000" w:type="dxa"/>
            <w:vAlign w:val="center"/>
            <w:noWrap/>
          </w:tcPr>
          <w:p>
            <w:pPr/>
            <w:r>
              <w:rPr/>
              <w:t xml:space="preserve">Sehova</w:t>
            </w:r>
          </w:p>
        </w:tc>
      </w:tr>
      <w:tr>
        <w:trPr/>
        <w:tc>
          <w:tcPr>
            <w:tcW w:w="11000" w:type="dxa"/>
            <w:vAlign w:val="center"/>
            <w:noWrap/>
          </w:tcPr>
          <w:p>
            <w:pPr/>
            <w:r>
              <w:rPr/>
              <w:t xml:space="preserve">Fa alá, árnyékba.</w:t>
            </w:r>
          </w:p>
        </w:tc>
      </w:tr>
      <w:tr>
        <w:trPr/>
        <w:tc>
          <w:tcPr>
            <w:tcW w:w="11000" w:type="dxa"/>
            <w:vAlign w:val="center"/>
            <w:noWrap/>
          </w:tcPr>
          <w:p>
            <w:pPr/>
            <w:r>
              <w:rPr/>
              <w:t xml:space="preserve">nincs</w:t>
            </w:r>
          </w:p>
        </w:tc>
      </w:tr>
      <w:tr>
        <w:trPr/>
        <w:tc>
          <w:tcPr>
            <w:tcW w:w="11000" w:type="dxa"/>
            <w:vAlign w:val="center"/>
            <w:noWrap/>
          </w:tcPr>
          <w:p>
            <w:pPr/>
            <w:r>
              <w:rPr/>
              <w:t xml:space="preserve">Ne nyílt terepre, napfény, eső miatt</w:t>
            </w:r>
          </w:p>
        </w:tc>
      </w:tr>
      <w:tr>
        <w:trPr/>
        <w:tc>
          <w:tcPr>
            <w:tcW w:w="11000" w:type="dxa"/>
            <w:vAlign w:val="center"/>
            <w:noWrap/>
          </w:tcPr>
          <w:p>
            <w:pPr/>
            <w:r>
              <w:rPr/>
              <w:t xml:space="preserve">hova kerülnek az autósok? a parkolóhelyek?</w:t>
            </w:r>
          </w:p>
        </w:tc>
      </w:tr>
      <w:tr>
        <w:trPr/>
        <w:tc>
          <w:tcPr>
            <w:tcW w:w="11000" w:type="dxa"/>
            <w:vAlign w:val="center"/>
            <w:noWrap/>
          </w:tcPr>
          <w:p>
            <w:pPr/>
            <w:r>
              <w:rPr/>
              <w:t xml:space="preserve">A rendelő körül, az iskolánál, valamint a kialakítandó parkba, szükség szerint.</w:t>
            </w:r>
          </w:p>
        </w:tc>
      </w:tr>
      <w:tr>
        <w:trPr/>
        <w:tc>
          <w:tcPr>
            <w:tcW w:w="11000" w:type="dxa"/>
            <w:vAlign w:val="center"/>
            <w:noWrap/>
          </w:tcPr>
          <w:p>
            <w:pPr/>
            <w:r>
              <w:rPr/>
              <w:t xml:space="preserve">Nincs</w:t>
            </w:r>
          </w:p>
        </w:tc>
      </w:tr>
      <w:tr>
        <w:trPr/>
        <w:tc>
          <w:tcPr>
            <w:tcW w:w="11000" w:type="dxa"/>
            <w:vAlign w:val="center"/>
            <w:noWrap/>
          </w:tcPr>
          <w:p>
            <w:pPr/>
            <w:r>
              <w:rPr/>
              <w:t xml:space="preserve">Posta ahol volt is</w:t>
            </w:r>
          </w:p>
        </w:tc>
      </w:tr>
      <w:tr>
        <w:trPr/>
        <w:tc>
          <w:tcPr>
            <w:tcW w:w="11000" w:type="dxa"/>
            <w:vAlign w:val="center"/>
            <w:noWrap/>
          </w:tcPr>
          <w:p>
            <w:pPr/>
            <w:r>
              <w:rPr/>
              <w:t xml:space="preserve">Ahol lehetőség van fák alá helyezném, piac kozelében, ill. buszvárók közelében.</w:t>
            </w:r>
          </w:p>
        </w:tc>
      </w:tr>
      <w:tr>
        <w:trPr/>
        <w:tc>
          <w:tcPr>
            <w:tcW w:w="11000" w:type="dxa"/>
            <w:vAlign w:val="center"/>
            <w:noWrap/>
          </w:tcPr>
          <w:p>
            <w:pPr/>
            <w:r>
              <w:rPr/>
              <w:t xml:space="preserve">Árnyékba</w:t>
            </w:r>
          </w:p>
        </w:tc>
      </w:tr>
      <w:tr>
        <w:trPr/>
        <w:tc>
          <w:tcPr>
            <w:tcW w:w="11000" w:type="dxa"/>
            <w:vAlign w:val="center"/>
            <w:noWrap/>
          </w:tcPr>
          <w:p>
            <w:pPr/>
            <w:r>
              <w:rPr/>
              <w:t xml:space="preserve">szerintem elég a mostani is</w:t>
            </w:r>
          </w:p>
        </w:tc>
      </w:tr>
      <w:tr>
        <w:trPr/>
        <w:tc>
          <w:tcPr>
            <w:tcW w:w="11000" w:type="dxa"/>
            <w:vAlign w:val="center"/>
            <w:noWrap/>
          </w:tcPr>
          <w:p>
            <w:pPr/>
            <w:r>
              <w:rPr/>
              <w:t xml:space="preserve">A fák alatti árnyékban.</w:t>
            </w:r>
          </w:p>
        </w:tc>
      </w:tr>
      <w:tr>
        <w:trPr/>
        <w:tc>
          <w:tcPr>
            <w:tcW w:w="11000" w:type="dxa"/>
            <w:vAlign w:val="center"/>
            <w:noWrap/>
          </w:tcPr>
          <w:p>
            <w:pPr/>
            <w:r>
              <w:rPr/>
              <w:t xml:space="preserve">Végállomás zöld részén</w:t>
            </w:r>
          </w:p>
        </w:tc>
      </w:tr>
      <w:tr>
        <w:trPr/>
        <w:tc>
          <w:tcPr>
            <w:tcW w:w="11000" w:type="dxa"/>
            <w:vAlign w:val="center"/>
            <w:noWrap/>
          </w:tcPr>
          <w:p>
            <w:pPr/>
            <w:r>
              <w:rPr/>
              <w:t xml:space="preserve">egy dísztónak kellene lennie a volt mozi területén, és annak a partjára</w:t>
            </w:r>
          </w:p>
        </w:tc>
      </w:tr>
      <w:tr>
        <w:trPr/>
        <w:tc>
          <w:tcPr>
            <w:tcW w:w="11000" w:type="dxa"/>
            <w:vAlign w:val="center"/>
            <w:noWrap/>
          </w:tcPr>
          <w:p>
            <w:pPr/>
            <w:r>
              <w:rPr/>
              <w:t xml:space="preserve">Nem jó ötlet a bútor, mert a kerületben még több hajléktalan lenne.</w:t>
            </w:r>
          </w:p>
        </w:tc>
      </w:tr>
      <w:tr>
        <w:trPr/>
        <w:tc>
          <w:tcPr>
            <w:tcW w:w="11000" w:type="dxa"/>
            <w:vAlign w:val="center"/>
            <w:noWrap/>
          </w:tcPr>
          <w:p>
            <w:pPr/>
            <w:r>
              <w:rPr/>
              <w:t xml:space="preserve">Az iskola elé</w:t>
            </w:r>
          </w:p>
        </w:tc>
      </w:tr>
      <w:tr>
        <w:trPr/>
        <w:tc>
          <w:tcPr>
            <w:tcW w:w="11000" w:type="dxa"/>
            <w:vAlign w:val="center"/>
            <w:noWrap/>
          </w:tcPr>
          <w:p>
            <w:pPr/>
            <w:r>
              <w:rPr/>
              <w:t xml:space="preserve">a gyalogosjárda mentén a füves területeken...</w:t>
            </w:r>
          </w:p>
        </w:tc>
      </w:tr>
    </w:tbl>
    <w:p/>
    <w:p>
      <w:pPr/>
      <w:r>
        <w:rPr>
          <w:sz w:val="24"/>
          <w:szCs w:val="24"/>
          <w:i w:val="1"/>
          <w:iCs w:val="1"/>
        </w:rPr>
        <w:t xml:space="preserve">További 48 válasz megtekintéséhez válassza az: "Excel CSV teljes" exportálási típust.</w:t>
      </w:r>
    </w:p>
    <w:p/>
    <w:p>
      <w:pPr>
        <w:jc w:val="right"/>
      </w:pPr>
      <w:r>
        <w:rPr>
          <w:sz w:val="24"/>
          <w:szCs w:val="24"/>
          <w:b w:val="1"/>
          <w:bCs w:val="1"/>
        </w:rPr>
        <w:t xml:space="preserve">73</w:t>
      </w:r>
      <w:r>
        <w:rPr>
          <w:sz w:val="24"/>
          <w:szCs w:val="24"/>
        </w:rPr>
        <w:t xml:space="preserve"> kitöltőtől összesen </w:t>
      </w:r>
      <w:r>
        <w:rPr>
          <w:sz w:val="24"/>
          <w:szCs w:val="24"/>
          <w:b w:val="1"/>
          <w:bCs w:val="1"/>
        </w:rPr>
        <w:t xml:space="preserve">73</w:t>
      </w:r>
      <w:r>
        <w:rPr>
          <w:sz w:val="24"/>
          <w:szCs w:val="24"/>
        </w:rPr>
        <w:t xml:space="preserve"> válasz</w:t>
      </w:r>
    </w:p>
    <w:p>
      <w:pPr>
        <w:sectPr>
          <w:pgSz w:orient="portrait" w:w="11905.511811023622" w:h="16837.79527559055"/>
          <w:pgMar w:top="600" w:right="600" w:bottom="600" w:left="600" w:header="720" w:footer="720" w:gutter="0"/>
          <w:cols w:num="1" w:space="720"/>
        </w:sectPr>
      </w:pPr>
    </w:p>
    <w:p>
      <w:pPr>
        <w:pStyle w:val="Heading1"/>
      </w:pPr>
      <w:bookmarkStart w:id="8" w:name="_Toc8"/>
      <w:r>
        <w:t>Mennyire fontos Önnek, hogy minél több természetközeli, virágos jellegű évelő és díszfüves (pl. pampafű) zöldfelület legyen a területen?</w:t>
      </w:r>
      <w:bookmarkEnd w:id="8"/>
    </w:p>
    <w:tbl>
      <w:tblGrid>
        <w:gridCol w:w="9000" w:type="dxa"/>
        <w:gridCol w:w="900" w:type="dxa"/>
        <w:gridCol w:w="900" w:type="dxa"/>
      </w:tblGrid>
      <w:tblPr>
        <w:tblStyle w:val="StatTable"/>
      </w:tblPr>
      <w:tr>
        <w:trPr/>
        <w:tc>
          <w:tcPr>
            <w:tcW w:w="9000" w:type="dxa"/>
            <w:vAlign w:val="center"/>
            <w:noWrap/>
          </w:tcPr>
          <w:p>
            <w:pPr/>
            <w:r>
              <w:rPr>
                <w:sz w:val="24"/>
                <w:szCs w:val="24"/>
                <w:b w:val="1"/>
                <w:bCs w:val="1"/>
              </w:rPr>
              <w:t xml:space="preserve">Válasz</w:t>
            </w:r>
          </w:p>
        </w:tc>
        <w:tc>
          <w:tcPr>
            <w:tcW w:w="900" w:type="dxa"/>
            <w:vAlign w:val="center"/>
            <w:noWrap/>
          </w:tcPr>
          <w:p>
            <w:pPr>
              <w:jc w:val="center"/>
            </w:pPr>
            <w:r>
              <w:rPr>
                <w:sz w:val="24"/>
                <w:szCs w:val="24"/>
                <w:b w:val="1"/>
                <w:bCs w:val="1"/>
              </w:rPr>
              <w:t xml:space="preserve">db</w:t>
            </w:r>
          </w:p>
        </w:tc>
        <w:tc>
          <w:tcPr>
            <w:tcW w:w="900" w:type="dxa"/>
            <w:vAlign w:val="center"/>
            <w:noWrap/>
          </w:tcPr>
          <w:p>
            <w:pPr>
              <w:jc w:val="center"/>
            </w:pPr>
            <w:r>
              <w:rPr>
                <w:sz w:val="24"/>
                <w:szCs w:val="24"/>
                <w:b w:val="1"/>
                <w:bCs w:val="1"/>
              </w:rPr>
              <w:t xml:space="preserve">%</w:t>
            </w:r>
          </w:p>
        </w:tc>
      </w:tr>
      <w:tr>
        <w:trPr/>
        <w:tc>
          <w:tcPr>
            <w:tcW w:w="9000" w:type="dxa"/>
            <w:vAlign w:val="center"/>
            <w:noWrap/>
          </w:tcPr>
          <w:p>
            <w:pPr/>
            <w:r>
              <w:rPr>
                <w:sz w:val="24"/>
                <w:szCs w:val="24"/>
              </w:rPr>
              <w:t xml:space="preserve">1</w:t>
            </w:r>
          </w:p>
        </w:tc>
        <w:tc>
          <w:tcPr>
            <w:tcW w:w="900" w:type="dxa"/>
            <w:vAlign w:val="center"/>
            <w:noWrap/>
          </w:tcPr>
          <w:p>
            <w:pPr>
              <w:jc w:val="center"/>
            </w:pPr>
            <w:r>
              <w:rPr>
                <w:sz w:val="24"/>
                <w:szCs w:val="24"/>
              </w:rPr>
              <w:t xml:space="preserve">12</w:t>
            </w:r>
          </w:p>
        </w:tc>
        <w:tc>
          <w:tcPr>
            <w:tcW w:w="900" w:type="dxa"/>
            <w:vAlign w:val="center"/>
            <w:noWrap/>
          </w:tcPr>
          <w:p>
            <w:pPr>
              <w:jc w:val="center"/>
            </w:pPr>
            <w:r>
              <w:rPr>
                <w:sz w:val="24"/>
                <w:szCs w:val="24"/>
              </w:rPr>
              <w:t xml:space="preserve">2.8%</w:t>
            </w:r>
          </w:p>
        </w:tc>
      </w:tr>
      <w:tr>
        <w:trPr/>
        <w:tc>
          <w:tcPr>
            <w:tcW w:w="9000" w:type="dxa"/>
            <w:vAlign w:val="center"/>
            <w:noWrap/>
          </w:tcPr>
          <w:p>
            <w:pPr/>
            <w:r>
              <w:rPr>
                <w:sz w:val="24"/>
                <w:szCs w:val="24"/>
              </w:rPr>
              <w:t xml:space="preserve">2</w:t>
            </w:r>
          </w:p>
        </w:tc>
        <w:tc>
          <w:tcPr>
            <w:tcW w:w="900" w:type="dxa"/>
            <w:vAlign w:val="center"/>
            <w:noWrap/>
          </w:tcPr>
          <w:p>
            <w:pPr>
              <w:jc w:val="center"/>
            </w:pPr>
            <w:r>
              <w:rPr>
                <w:sz w:val="24"/>
                <w:szCs w:val="24"/>
              </w:rPr>
              <w:t xml:space="preserve">9</w:t>
            </w:r>
          </w:p>
        </w:tc>
        <w:tc>
          <w:tcPr>
            <w:tcW w:w="900" w:type="dxa"/>
            <w:vAlign w:val="center"/>
            <w:noWrap/>
          </w:tcPr>
          <w:p>
            <w:pPr>
              <w:jc w:val="center"/>
            </w:pPr>
            <w:r>
              <w:rPr>
                <w:sz w:val="24"/>
                <w:szCs w:val="24"/>
              </w:rPr>
              <w:t xml:space="preserve">2.1%</w:t>
            </w:r>
          </w:p>
        </w:tc>
      </w:tr>
      <w:tr>
        <w:trPr/>
        <w:tc>
          <w:tcPr>
            <w:tcW w:w="9000" w:type="dxa"/>
            <w:vAlign w:val="center"/>
            <w:noWrap/>
          </w:tcPr>
          <w:p>
            <w:pPr/>
            <w:r>
              <w:rPr>
                <w:sz w:val="24"/>
                <w:szCs w:val="24"/>
              </w:rPr>
              <w:t xml:space="preserve">3</w:t>
            </w:r>
          </w:p>
        </w:tc>
        <w:tc>
          <w:tcPr>
            <w:tcW w:w="900" w:type="dxa"/>
            <w:vAlign w:val="center"/>
            <w:noWrap/>
          </w:tcPr>
          <w:p>
            <w:pPr>
              <w:jc w:val="center"/>
            </w:pPr>
            <w:r>
              <w:rPr>
                <w:sz w:val="24"/>
                <w:szCs w:val="24"/>
              </w:rPr>
              <w:t xml:space="preserve">27</w:t>
            </w:r>
          </w:p>
        </w:tc>
        <w:tc>
          <w:tcPr>
            <w:tcW w:w="900" w:type="dxa"/>
            <w:vAlign w:val="center"/>
            <w:noWrap/>
          </w:tcPr>
          <w:p>
            <w:pPr>
              <w:jc w:val="center"/>
            </w:pPr>
            <w:r>
              <w:rPr>
                <w:sz w:val="24"/>
                <w:szCs w:val="24"/>
              </w:rPr>
              <w:t xml:space="preserve">6.4%</w:t>
            </w:r>
          </w:p>
        </w:tc>
      </w:tr>
      <w:tr>
        <w:trPr/>
        <w:tc>
          <w:tcPr>
            <w:tcW w:w="9000" w:type="dxa"/>
            <w:vAlign w:val="center"/>
            <w:noWrap/>
          </w:tcPr>
          <w:p>
            <w:pPr/>
            <w:r>
              <w:rPr>
                <w:sz w:val="24"/>
                <w:szCs w:val="24"/>
              </w:rPr>
              <w:t xml:space="preserve">4</w:t>
            </w:r>
          </w:p>
        </w:tc>
        <w:tc>
          <w:tcPr>
            <w:tcW w:w="900" w:type="dxa"/>
            <w:vAlign w:val="center"/>
            <w:noWrap/>
          </w:tcPr>
          <w:p>
            <w:pPr>
              <w:jc w:val="center"/>
            </w:pPr>
            <w:r>
              <w:rPr>
                <w:sz w:val="24"/>
                <w:szCs w:val="24"/>
              </w:rPr>
              <w:t xml:space="preserve">58</w:t>
            </w:r>
          </w:p>
        </w:tc>
        <w:tc>
          <w:tcPr>
            <w:tcW w:w="900" w:type="dxa"/>
            <w:vAlign w:val="center"/>
            <w:noWrap/>
          </w:tcPr>
          <w:p>
            <w:pPr>
              <w:jc w:val="center"/>
            </w:pPr>
            <w:r>
              <w:rPr>
                <w:sz w:val="24"/>
                <w:szCs w:val="24"/>
              </w:rPr>
              <w:t xml:space="preserve">13.7%</w:t>
            </w:r>
          </w:p>
        </w:tc>
      </w:tr>
      <w:tr>
        <w:trPr/>
        <w:tc>
          <w:tcPr>
            <w:tcW w:w="9000" w:type="dxa"/>
            <w:vAlign w:val="center"/>
            <w:noWrap/>
          </w:tcPr>
          <w:p>
            <w:pPr/>
            <w:r>
              <w:rPr>
                <w:sz w:val="24"/>
                <w:szCs w:val="24"/>
              </w:rPr>
              <w:t xml:space="preserve">5</w:t>
            </w:r>
          </w:p>
        </w:tc>
        <w:tc>
          <w:tcPr>
            <w:tcW w:w="900" w:type="dxa"/>
            <w:vAlign w:val="center"/>
            <w:noWrap/>
          </w:tcPr>
          <w:p>
            <w:pPr>
              <w:jc w:val="center"/>
            </w:pPr>
            <w:r>
              <w:rPr>
                <w:sz w:val="24"/>
                <w:szCs w:val="24"/>
              </w:rPr>
              <w:t xml:space="preserve">317</w:t>
            </w:r>
          </w:p>
        </w:tc>
        <w:tc>
          <w:tcPr>
            <w:tcW w:w="900" w:type="dxa"/>
            <w:vAlign w:val="center"/>
            <w:noWrap/>
          </w:tcPr>
          <w:p>
            <w:pPr>
              <w:jc w:val="center"/>
            </w:pPr>
            <w:r>
              <w:rPr>
                <w:sz w:val="24"/>
                <w:szCs w:val="24"/>
              </w:rPr>
              <w:t xml:space="preserve">74.9%</w:t>
            </w:r>
          </w:p>
        </w:tc>
      </w:tr>
    </w:tbl>
    <w:p/>
    <w:p>
      <w:pPr>
        <w:jc w:val="right"/>
      </w:pPr>
      <w:r>
        <w:rPr>
          <w:sz w:val="24"/>
          <w:szCs w:val="24"/>
          <w:b w:val="1"/>
          <w:bCs w:val="1"/>
        </w:rPr>
        <w:t xml:space="preserve">423</w:t>
      </w:r>
      <w:r>
        <w:rPr>
          <w:sz w:val="24"/>
          <w:szCs w:val="24"/>
        </w:rPr>
        <w:t xml:space="preserve"> kitöltőtől összesen </w:t>
      </w:r>
      <w:r>
        <w:rPr>
          <w:sz w:val="24"/>
          <w:szCs w:val="24"/>
          <w:b w:val="1"/>
          <w:bCs w:val="1"/>
        </w:rPr>
        <w:t xml:space="preserve">423</w:t>
      </w:r>
      <w:r>
        <w:rPr>
          <w:sz w:val="24"/>
          <w:szCs w:val="24"/>
        </w:rPr>
        <w:t xml:space="preserve"> válasz</w:t>
      </w:r>
    </w:p>
    <w:p>
      <w:r>
        <w:drawing>
          <wp:inline>
            <wp:extent cx="6858000" cy="5943600"/>
            <wp:docPr id="14" name="Chart14"/>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pPr>
        <w:sectPr>
          <w:pgSz w:orient="portrait" w:w="11905.511811023622" w:h="16837.79527559055"/>
          <w:pgMar w:top="600" w:right="600" w:bottom="600" w:left="600" w:header="720" w:footer="720" w:gutter="0"/>
          <w:cols w:num="1" w:space="720"/>
        </w:sectPr>
      </w:pPr>
    </w:p>
    <w:p>
      <w:pPr>
        <w:pStyle w:val="Heading1"/>
      </w:pPr>
      <w:bookmarkStart w:id="9" w:name="_Toc9"/>
      <w:r>
        <w:t>Mennyire fontos Önnek, hogy egynyári virágos zöldfelület is legyen?</w:t>
      </w:r>
      <w:bookmarkEnd w:id="9"/>
    </w:p>
    <w:tbl>
      <w:tblGrid>
        <w:gridCol w:w="9000" w:type="dxa"/>
        <w:gridCol w:w="900" w:type="dxa"/>
        <w:gridCol w:w="900" w:type="dxa"/>
      </w:tblGrid>
      <w:tblPr>
        <w:tblStyle w:val="StatTable"/>
      </w:tblPr>
      <w:tr>
        <w:trPr/>
        <w:tc>
          <w:tcPr>
            <w:tcW w:w="9000" w:type="dxa"/>
            <w:vAlign w:val="center"/>
            <w:noWrap/>
          </w:tcPr>
          <w:p>
            <w:pPr/>
            <w:r>
              <w:rPr>
                <w:sz w:val="24"/>
                <w:szCs w:val="24"/>
                <w:b w:val="1"/>
                <w:bCs w:val="1"/>
              </w:rPr>
              <w:t xml:space="preserve">Válasz</w:t>
            </w:r>
          </w:p>
        </w:tc>
        <w:tc>
          <w:tcPr>
            <w:tcW w:w="900" w:type="dxa"/>
            <w:vAlign w:val="center"/>
            <w:noWrap/>
          </w:tcPr>
          <w:p>
            <w:pPr>
              <w:jc w:val="center"/>
            </w:pPr>
            <w:r>
              <w:rPr>
                <w:sz w:val="24"/>
                <w:szCs w:val="24"/>
                <w:b w:val="1"/>
                <w:bCs w:val="1"/>
              </w:rPr>
              <w:t xml:space="preserve">db</w:t>
            </w:r>
          </w:p>
        </w:tc>
        <w:tc>
          <w:tcPr>
            <w:tcW w:w="900" w:type="dxa"/>
            <w:vAlign w:val="center"/>
            <w:noWrap/>
          </w:tcPr>
          <w:p>
            <w:pPr>
              <w:jc w:val="center"/>
            </w:pPr>
            <w:r>
              <w:rPr>
                <w:sz w:val="24"/>
                <w:szCs w:val="24"/>
                <w:b w:val="1"/>
                <w:bCs w:val="1"/>
              </w:rPr>
              <w:t xml:space="preserve">%</w:t>
            </w:r>
          </w:p>
        </w:tc>
      </w:tr>
      <w:tr>
        <w:trPr/>
        <w:tc>
          <w:tcPr>
            <w:tcW w:w="9000" w:type="dxa"/>
            <w:vAlign w:val="center"/>
            <w:noWrap/>
          </w:tcPr>
          <w:p>
            <w:pPr/>
            <w:r>
              <w:rPr>
                <w:sz w:val="24"/>
                <w:szCs w:val="24"/>
              </w:rPr>
              <w:t xml:space="preserve">1</w:t>
            </w:r>
          </w:p>
        </w:tc>
        <w:tc>
          <w:tcPr>
            <w:tcW w:w="900" w:type="dxa"/>
            <w:vAlign w:val="center"/>
            <w:noWrap/>
          </w:tcPr>
          <w:p>
            <w:pPr>
              <w:jc w:val="center"/>
            </w:pPr>
            <w:r>
              <w:rPr>
                <w:sz w:val="24"/>
                <w:szCs w:val="24"/>
              </w:rPr>
              <w:t xml:space="preserve">36</w:t>
            </w:r>
          </w:p>
        </w:tc>
        <w:tc>
          <w:tcPr>
            <w:tcW w:w="900" w:type="dxa"/>
            <w:vAlign w:val="center"/>
            <w:noWrap/>
          </w:tcPr>
          <w:p>
            <w:pPr>
              <w:jc w:val="center"/>
            </w:pPr>
            <w:r>
              <w:rPr>
                <w:sz w:val="24"/>
                <w:szCs w:val="24"/>
              </w:rPr>
              <w:t xml:space="preserve">8.5%</w:t>
            </w:r>
          </w:p>
        </w:tc>
      </w:tr>
      <w:tr>
        <w:trPr/>
        <w:tc>
          <w:tcPr>
            <w:tcW w:w="9000" w:type="dxa"/>
            <w:vAlign w:val="center"/>
            <w:noWrap/>
          </w:tcPr>
          <w:p>
            <w:pPr/>
            <w:r>
              <w:rPr>
                <w:sz w:val="24"/>
                <w:szCs w:val="24"/>
              </w:rPr>
              <w:t xml:space="preserve">2</w:t>
            </w:r>
          </w:p>
        </w:tc>
        <w:tc>
          <w:tcPr>
            <w:tcW w:w="900" w:type="dxa"/>
            <w:vAlign w:val="center"/>
            <w:noWrap/>
          </w:tcPr>
          <w:p>
            <w:pPr>
              <w:jc w:val="center"/>
            </w:pPr>
            <w:r>
              <w:rPr>
                <w:sz w:val="24"/>
                <w:szCs w:val="24"/>
              </w:rPr>
              <w:t xml:space="preserve">35</w:t>
            </w:r>
          </w:p>
        </w:tc>
        <w:tc>
          <w:tcPr>
            <w:tcW w:w="900" w:type="dxa"/>
            <w:vAlign w:val="center"/>
            <w:noWrap/>
          </w:tcPr>
          <w:p>
            <w:pPr>
              <w:jc w:val="center"/>
            </w:pPr>
            <w:r>
              <w:rPr>
                <w:sz w:val="24"/>
                <w:szCs w:val="24"/>
              </w:rPr>
              <w:t xml:space="preserve">8.3%</w:t>
            </w:r>
          </w:p>
        </w:tc>
      </w:tr>
      <w:tr>
        <w:trPr/>
        <w:tc>
          <w:tcPr>
            <w:tcW w:w="9000" w:type="dxa"/>
            <w:vAlign w:val="center"/>
            <w:noWrap/>
          </w:tcPr>
          <w:p>
            <w:pPr/>
            <w:r>
              <w:rPr>
                <w:sz w:val="24"/>
                <w:szCs w:val="24"/>
              </w:rPr>
              <w:t xml:space="preserve">3</w:t>
            </w:r>
          </w:p>
        </w:tc>
        <w:tc>
          <w:tcPr>
            <w:tcW w:w="900" w:type="dxa"/>
            <w:vAlign w:val="center"/>
            <w:noWrap/>
          </w:tcPr>
          <w:p>
            <w:pPr>
              <w:jc w:val="center"/>
            </w:pPr>
            <w:r>
              <w:rPr>
                <w:sz w:val="24"/>
                <w:szCs w:val="24"/>
              </w:rPr>
              <w:t xml:space="preserve">80</w:t>
            </w:r>
          </w:p>
        </w:tc>
        <w:tc>
          <w:tcPr>
            <w:tcW w:w="900" w:type="dxa"/>
            <w:vAlign w:val="center"/>
            <w:noWrap/>
          </w:tcPr>
          <w:p>
            <w:pPr>
              <w:jc w:val="center"/>
            </w:pPr>
            <w:r>
              <w:rPr>
                <w:sz w:val="24"/>
                <w:szCs w:val="24"/>
              </w:rPr>
              <w:t xml:space="preserve">18.9%</w:t>
            </w:r>
          </w:p>
        </w:tc>
      </w:tr>
      <w:tr>
        <w:trPr/>
        <w:tc>
          <w:tcPr>
            <w:tcW w:w="9000" w:type="dxa"/>
            <w:vAlign w:val="center"/>
            <w:noWrap/>
          </w:tcPr>
          <w:p>
            <w:pPr/>
            <w:r>
              <w:rPr>
                <w:sz w:val="24"/>
                <w:szCs w:val="24"/>
              </w:rPr>
              <w:t xml:space="preserve">4</w:t>
            </w:r>
          </w:p>
        </w:tc>
        <w:tc>
          <w:tcPr>
            <w:tcW w:w="900" w:type="dxa"/>
            <w:vAlign w:val="center"/>
            <w:noWrap/>
          </w:tcPr>
          <w:p>
            <w:pPr>
              <w:jc w:val="center"/>
            </w:pPr>
            <w:r>
              <w:rPr>
                <w:sz w:val="24"/>
                <w:szCs w:val="24"/>
              </w:rPr>
              <w:t xml:space="preserve">92</w:t>
            </w:r>
          </w:p>
        </w:tc>
        <w:tc>
          <w:tcPr>
            <w:tcW w:w="900" w:type="dxa"/>
            <w:vAlign w:val="center"/>
            <w:noWrap/>
          </w:tcPr>
          <w:p>
            <w:pPr>
              <w:jc w:val="center"/>
            </w:pPr>
            <w:r>
              <w:rPr>
                <w:sz w:val="24"/>
                <w:szCs w:val="24"/>
              </w:rPr>
              <w:t xml:space="preserve">21.7%</w:t>
            </w:r>
          </w:p>
        </w:tc>
      </w:tr>
      <w:tr>
        <w:trPr/>
        <w:tc>
          <w:tcPr>
            <w:tcW w:w="9000" w:type="dxa"/>
            <w:vAlign w:val="center"/>
            <w:noWrap/>
          </w:tcPr>
          <w:p>
            <w:pPr/>
            <w:r>
              <w:rPr>
                <w:sz w:val="24"/>
                <w:szCs w:val="24"/>
              </w:rPr>
              <w:t xml:space="preserve">5</w:t>
            </w:r>
          </w:p>
        </w:tc>
        <w:tc>
          <w:tcPr>
            <w:tcW w:w="900" w:type="dxa"/>
            <w:vAlign w:val="center"/>
            <w:noWrap/>
          </w:tcPr>
          <w:p>
            <w:pPr>
              <w:jc w:val="center"/>
            </w:pPr>
            <w:r>
              <w:rPr>
                <w:sz w:val="24"/>
                <w:szCs w:val="24"/>
              </w:rPr>
              <w:t xml:space="preserve">180</w:t>
            </w:r>
          </w:p>
        </w:tc>
        <w:tc>
          <w:tcPr>
            <w:tcW w:w="900" w:type="dxa"/>
            <w:vAlign w:val="center"/>
            <w:noWrap/>
          </w:tcPr>
          <w:p>
            <w:pPr>
              <w:jc w:val="center"/>
            </w:pPr>
            <w:r>
              <w:rPr>
                <w:sz w:val="24"/>
                <w:szCs w:val="24"/>
              </w:rPr>
              <w:t xml:space="preserve">42.6%</w:t>
            </w:r>
          </w:p>
        </w:tc>
      </w:tr>
    </w:tbl>
    <w:p/>
    <w:p>
      <w:pPr>
        <w:jc w:val="right"/>
      </w:pPr>
      <w:r>
        <w:rPr>
          <w:sz w:val="24"/>
          <w:szCs w:val="24"/>
          <w:b w:val="1"/>
          <w:bCs w:val="1"/>
        </w:rPr>
        <w:t xml:space="preserve">423</w:t>
      </w:r>
      <w:r>
        <w:rPr>
          <w:sz w:val="24"/>
          <w:szCs w:val="24"/>
        </w:rPr>
        <w:t xml:space="preserve"> kitöltőtől összesen </w:t>
      </w:r>
      <w:r>
        <w:rPr>
          <w:sz w:val="24"/>
          <w:szCs w:val="24"/>
          <w:b w:val="1"/>
          <w:bCs w:val="1"/>
        </w:rPr>
        <w:t xml:space="preserve">423</w:t>
      </w:r>
      <w:r>
        <w:rPr>
          <w:sz w:val="24"/>
          <w:szCs w:val="24"/>
        </w:rPr>
        <w:t xml:space="preserve"> válasz</w:t>
      </w:r>
    </w:p>
    <w:p>
      <w:r>
        <w:drawing>
          <wp:inline>
            <wp:extent cx="6858000" cy="5943600"/>
            <wp:docPr id="15" name="Chart15"/>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sectPr>
          <w:pgSz w:orient="portrait" w:w="11905.511811023622" w:h="16837.79527559055"/>
          <w:pgMar w:top="600" w:right="600" w:bottom="600" w:left="600" w:header="720" w:footer="720" w:gutter="0"/>
          <w:cols w:num="1" w:space="720"/>
        </w:sectPr>
      </w:pPr>
    </w:p>
    <w:p>
      <w:pPr>
        <w:pStyle w:val="Heading1"/>
      </w:pPr>
      <w:bookmarkStart w:id="10" w:name="_Toc10"/>
      <w:r>
        <w:t>Mennyire fontos Önnek, hogy minél több szabadon használható - nem díszítő növényekkel beültetett - fűfelület legyen? (pl. ahol a gyerekek szabadon szaladgálhatnak)</w:t>
      </w:r>
      <w:bookmarkEnd w:id="10"/>
    </w:p>
    <w:tbl>
      <w:tblGrid>
        <w:gridCol w:w="9000" w:type="dxa"/>
        <w:gridCol w:w="900" w:type="dxa"/>
        <w:gridCol w:w="900" w:type="dxa"/>
      </w:tblGrid>
      <w:tblPr>
        <w:tblStyle w:val="StatTable"/>
      </w:tblPr>
      <w:tr>
        <w:trPr/>
        <w:tc>
          <w:tcPr>
            <w:tcW w:w="9000" w:type="dxa"/>
            <w:vAlign w:val="center"/>
            <w:noWrap/>
          </w:tcPr>
          <w:p>
            <w:pPr/>
            <w:r>
              <w:rPr>
                <w:sz w:val="24"/>
                <w:szCs w:val="24"/>
                <w:b w:val="1"/>
                <w:bCs w:val="1"/>
              </w:rPr>
              <w:t xml:space="preserve">Válasz</w:t>
            </w:r>
          </w:p>
        </w:tc>
        <w:tc>
          <w:tcPr>
            <w:tcW w:w="900" w:type="dxa"/>
            <w:vAlign w:val="center"/>
            <w:noWrap/>
          </w:tcPr>
          <w:p>
            <w:pPr>
              <w:jc w:val="center"/>
            </w:pPr>
            <w:r>
              <w:rPr>
                <w:sz w:val="24"/>
                <w:szCs w:val="24"/>
                <w:b w:val="1"/>
                <w:bCs w:val="1"/>
              </w:rPr>
              <w:t xml:space="preserve">db</w:t>
            </w:r>
          </w:p>
        </w:tc>
        <w:tc>
          <w:tcPr>
            <w:tcW w:w="900" w:type="dxa"/>
            <w:vAlign w:val="center"/>
            <w:noWrap/>
          </w:tcPr>
          <w:p>
            <w:pPr>
              <w:jc w:val="center"/>
            </w:pPr>
            <w:r>
              <w:rPr>
                <w:sz w:val="24"/>
                <w:szCs w:val="24"/>
                <w:b w:val="1"/>
                <w:bCs w:val="1"/>
              </w:rPr>
              <w:t xml:space="preserve">%</w:t>
            </w:r>
          </w:p>
        </w:tc>
      </w:tr>
      <w:tr>
        <w:trPr/>
        <w:tc>
          <w:tcPr>
            <w:tcW w:w="9000" w:type="dxa"/>
            <w:vAlign w:val="center"/>
            <w:noWrap/>
          </w:tcPr>
          <w:p>
            <w:pPr/>
            <w:r>
              <w:rPr>
                <w:sz w:val="24"/>
                <w:szCs w:val="24"/>
              </w:rPr>
              <w:t xml:space="preserve">1</w:t>
            </w:r>
          </w:p>
        </w:tc>
        <w:tc>
          <w:tcPr>
            <w:tcW w:w="900" w:type="dxa"/>
            <w:vAlign w:val="center"/>
            <w:noWrap/>
          </w:tcPr>
          <w:p>
            <w:pPr>
              <w:jc w:val="center"/>
            </w:pPr>
            <w:r>
              <w:rPr>
                <w:sz w:val="24"/>
                <w:szCs w:val="24"/>
              </w:rPr>
              <w:t xml:space="preserve">29</w:t>
            </w:r>
          </w:p>
        </w:tc>
        <w:tc>
          <w:tcPr>
            <w:tcW w:w="900" w:type="dxa"/>
            <w:vAlign w:val="center"/>
            <w:noWrap/>
          </w:tcPr>
          <w:p>
            <w:pPr>
              <w:jc w:val="center"/>
            </w:pPr>
            <w:r>
              <w:rPr>
                <w:sz w:val="24"/>
                <w:szCs w:val="24"/>
              </w:rPr>
              <w:t xml:space="preserve">6.9%</w:t>
            </w:r>
          </w:p>
        </w:tc>
      </w:tr>
      <w:tr>
        <w:trPr/>
        <w:tc>
          <w:tcPr>
            <w:tcW w:w="9000" w:type="dxa"/>
            <w:vAlign w:val="center"/>
            <w:noWrap/>
          </w:tcPr>
          <w:p>
            <w:pPr/>
            <w:r>
              <w:rPr>
                <w:sz w:val="24"/>
                <w:szCs w:val="24"/>
              </w:rPr>
              <w:t xml:space="preserve">2</w:t>
            </w:r>
          </w:p>
        </w:tc>
        <w:tc>
          <w:tcPr>
            <w:tcW w:w="900" w:type="dxa"/>
            <w:vAlign w:val="center"/>
            <w:noWrap/>
          </w:tcPr>
          <w:p>
            <w:pPr>
              <w:jc w:val="center"/>
            </w:pPr>
            <w:r>
              <w:rPr>
                <w:sz w:val="24"/>
                <w:szCs w:val="24"/>
              </w:rPr>
              <w:t xml:space="preserve">33</w:t>
            </w:r>
          </w:p>
        </w:tc>
        <w:tc>
          <w:tcPr>
            <w:tcW w:w="900" w:type="dxa"/>
            <w:vAlign w:val="center"/>
            <w:noWrap/>
          </w:tcPr>
          <w:p>
            <w:pPr>
              <w:jc w:val="center"/>
            </w:pPr>
            <w:r>
              <w:rPr>
                <w:sz w:val="24"/>
                <w:szCs w:val="24"/>
              </w:rPr>
              <w:t xml:space="preserve">7.8%</w:t>
            </w:r>
          </w:p>
        </w:tc>
      </w:tr>
      <w:tr>
        <w:trPr/>
        <w:tc>
          <w:tcPr>
            <w:tcW w:w="9000" w:type="dxa"/>
            <w:vAlign w:val="center"/>
            <w:noWrap/>
          </w:tcPr>
          <w:p>
            <w:pPr/>
            <w:r>
              <w:rPr>
                <w:sz w:val="24"/>
                <w:szCs w:val="24"/>
              </w:rPr>
              <w:t xml:space="preserve">3</w:t>
            </w:r>
          </w:p>
        </w:tc>
        <w:tc>
          <w:tcPr>
            <w:tcW w:w="900" w:type="dxa"/>
            <w:vAlign w:val="center"/>
            <w:noWrap/>
          </w:tcPr>
          <w:p>
            <w:pPr>
              <w:jc w:val="center"/>
            </w:pPr>
            <w:r>
              <w:rPr>
                <w:sz w:val="24"/>
                <w:szCs w:val="24"/>
              </w:rPr>
              <w:t xml:space="preserve">86</w:t>
            </w:r>
          </w:p>
        </w:tc>
        <w:tc>
          <w:tcPr>
            <w:tcW w:w="900" w:type="dxa"/>
            <w:vAlign w:val="center"/>
            <w:noWrap/>
          </w:tcPr>
          <w:p>
            <w:pPr>
              <w:jc w:val="center"/>
            </w:pPr>
            <w:r>
              <w:rPr>
                <w:sz w:val="24"/>
                <w:szCs w:val="24"/>
              </w:rPr>
              <w:t xml:space="preserve">20.3%</w:t>
            </w:r>
          </w:p>
        </w:tc>
      </w:tr>
      <w:tr>
        <w:trPr/>
        <w:tc>
          <w:tcPr>
            <w:tcW w:w="9000" w:type="dxa"/>
            <w:vAlign w:val="center"/>
            <w:noWrap/>
          </w:tcPr>
          <w:p>
            <w:pPr/>
            <w:r>
              <w:rPr>
                <w:sz w:val="24"/>
                <w:szCs w:val="24"/>
              </w:rPr>
              <w:t xml:space="preserve">4</w:t>
            </w:r>
          </w:p>
        </w:tc>
        <w:tc>
          <w:tcPr>
            <w:tcW w:w="900" w:type="dxa"/>
            <w:vAlign w:val="center"/>
            <w:noWrap/>
          </w:tcPr>
          <w:p>
            <w:pPr>
              <w:jc w:val="center"/>
            </w:pPr>
            <w:r>
              <w:rPr>
                <w:sz w:val="24"/>
                <w:szCs w:val="24"/>
              </w:rPr>
              <w:t xml:space="preserve">99</w:t>
            </w:r>
          </w:p>
        </w:tc>
        <w:tc>
          <w:tcPr>
            <w:tcW w:w="900" w:type="dxa"/>
            <w:vAlign w:val="center"/>
            <w:noWrap/>
          </w:tcPr>
          <w:p>
            <w:pPr>
              <w:jc w:val="center"/>
            </w:pPr>
            <w:r>
              <w:rPr>
                <w:sz w:val="24"/>
                <w:szCs w:val="24"/>
              </w:rPr>
              <w:t xml:space="preserve">23.4%</w:t>
            </w:r>
          </w:p>
        </w:tc>
      </w:tr>
      <w:tr>
        <w:trPr/>
        <w:tc>
          <w:tcPr>
            <w:tcW w:w="9000" w:type="dxa"/>
            <w:vAlign w:val="center"/>
            <w:noWrap/>
          </w:tcPr>
          <w:p>
            <w:pPr/>
            <w:r>
              <w:rPr>
                <w:sz w:val="24"/>
                <w:szCs w:val="24"/>
              </w:rPr>
              <w:t xml:space="preserve">5</w:t>
            </w:r>
          </w:p>
        </w:tc>
        <w:tc>
          <w:tcPr>
            <w:tcW w:w="900" w:type="dxa"/>
            <w:vAlign w:val="center"/>
            <w:noWrap/>
          </w:tcPr>
          <w:p>
            <w:pPr>
              <w:jc w:val="center"/>
            </w:pPr>
            <w:r>
              <w:rPr>
                <w:sz w:val="24"/>
                <w:szCs w:val="24"/>
              </w:rPr>
              <w:t xml:space="preserve">176</w:t>
            </w:r>
          </w:p>
        </w:tc>
        <w:tc>
          <w:tcPr>
            <w:tcW w:w="900" w:type="dxa"/>
            <w:vAlign w:val="center"/>
            <w:noWrap/>
          </w:tcPr>
          <w:p>
            <w:pPr>
              <w:jc w:val="center"/>
            </w:pPr>
            <w:r>
              <w:rPr>
                <w:sz w:val="24"/>
                <w:szCs w:val="24"/>
              </w:rPr>
              <w:t xml:space="preserve">41.6%</w:t>
            </w:r>
          </w:p>
        </w:tc>
      </w:tr>
    </w:tbl>
    <w:p/>
    <w:p>
      <w:pPr>
        <w:jc w:val="right"/>
      </w:pPr>
      <w:r>
        <w:rPr>
          <w:sz w:val="24"/>
          <w:szCs w:val="24"/>
          <w:b w:val="1"/>
          <w:bCs w:val="1"/>
        </w:rPr>
        <w:t xml:space="preserve">423</w:t>
      </w:r>
      <w:r>
        <w:rPr>
          <w:sz w:val="24"/>
          <w:szCs w:val="24"/>
        </w:rPr>
        <w:t xml:space="preserve"> kitöltőtől összesen </w:t>
      </w:r>
      <w:r>
        <w:rPr>
          <w:sz w:val="24"/>
          <w:szCs w:val="24"/>
          <w:b w:val="1"/>
          <w:bCs w:val="1"/>
        </w:rPr>
        <w:t xml:space="preserve">423</w:t>
      </w:r>
      <w:r>
        <w:rPr>
          <w:sz w:val="24"/>
          <w:szCs w:val="24"/>
        </w:rPr>
        <w:t xml:space="preserve"> válasz</w:t>
      </w:r>
    </w:p>
    <w:p>
      <w:r>
        <w:drawing>
          <wp:inline>
            <wp:extent cx="6858000" cy="5943600"/>
            <wp:docPr id="16" name="Chart16"/>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sectPr>
          <w:pgSz w:orient="portrait" w:w="11905.511811023622" w:h="16837.79527559055"/>
          <w:pgMar w:top="600" w:right="600" w:bottom="600" w:left="600" w:header="720" w:footer="720" w:gutter="0"/>
          <w:cols w:num="1" w:space="720"/>
        </w:sectPr>
      </w:pPr>
    </w:p>
    <w:p>
      <w:pPr>
        <w:pStyle w:val="Heading1"/>
      </w:pPr>
      <w:bookmarkStart w:id="11" w:name="_Toc11"/>
      <w:r>
        <w:t>Milyen konkrét fafajokat, cserjéket vagy évelő növényeket javasolna, amelyek jól illenének ide?</w:t>
      </w:r>
      <w:bookmarkEnd w:id="11"/>
    </w:p>
    <w:tbl>
      <w:tblGrid>
        <w:gridCol w:w="11000" w:type="dxa"/>
      </w:tblGrid>
      <w:tblPr>
        <w:tblStyle w:val="TextTable"/>
      </w:tblPr>
      <w:tr>
        <w:trPr/>
        <w:tc>
          <w:tcPr>
            <w:tcW w:w="11000" w:type="dxa"/>
            <w:vAlign w:val="center"/>
            <w:noWrap/>
          </w:tcPr>
          <w:p>
            <w:pPr/>
            <w:r>
              <w:rPr/>
              <w:t xml:space="preserve">nem tudom</w:t>
            </w:r>
          </w:p>
        </w:tc>
      </w:tr>
      <w:tr>
        <w:trPr/>
        <w:tc>
          <w:tcPr>
            <w:tcW w:w="11000" w:type="dxa"/>
            <w:vAlign w:val="center"/>
            <w:noWrap/>
          </w:tcPr>
          <w:p>
            <w:pPr/>
            <w:r>
              <w:rPr/>
              <w:t xml:space="preserve">Orgona bokor , olajfa , hársfa</w:t>
            </w:r>
          </w:p>
        </w:tc>
      </w:tr>
      <w:tr>
        <w:trPr/>
        <w:tc>
          <w:tcPr>
            <w:tcW w:w="11000" w:type="dxa"/>
            <w:vAlign w:val="center"/>
            <w:noWrap/>
          </w:tcPr>
          <w:p>
            <w:pPr/>
            <w:r>
              <w:rPr/>
              <w:t xml:space="preserve">később árnyékot adó lombos fák, ne vágják ki lehetőleg a meglevőket.</w:t>
            </w:r>
          </w:p>
        </w:tc>
      </w:tr>
      <w:tr>
        <w:trPr/>
        <w:tc>
          <w:tcPr>
            <w:tcW w:w="11000" w:type="dxa"/>
            <w:vAlign w:val="center"/>
            <w:noWrap/>
          </w:tcPr>
          <w:p>
            <w:pPr/>
            <w:r>
              <w:rPr/>
              <w:t xml:space="preserve">semmilyet</w:t>
            </w:r>
          </w:p>
        </w:tc>
      </w:tr>
      <w:tr>
        <w:trPr/>
        <w:tc>
          <w:tcPr>
            <w:tcW w:w="11000" w:type="dxa"/>
            <w:vAlign w:val="center"/>
            <w:noWrap/>
          </w:tcPr>
          <w:p>
            <w:pPr/>
            <w:r>
              <w:rPr/>
              <w:t xml:space="preserve">Minél nagyobb lombkorával rendelkező fákat szeretnék.</w:t>
            </w:r>
          </w:p>
        </w:tc>
      </w:tr>
      <w:tr>
        <w:trPr/>
        <w:tc>
          <w:tcPr>
            <w:tcW w:w="11000" w:type="dxa"/>
            <w:vAlign w:val="center"/>
            <w:noWrap/>
          </w:tcPr>
          <w:p>
            <w:pPr/>
            <w:r>
              <w:rPr/>
              <w:t xml:space="preserve">pampafű, rózsák, színes bógyós bokrok</w:t>
            </w:r>
          </w:p>
        </w:tc>
      </w:tr>
      <w:tr>
        <w:trPr/>
        <w:tc>
          <w:tcPr>
            <w:tcW w:w="11000" w:type="dxa"/>
            <w:vAlign w:val="center"/>
            <w:noWrap/>
          </w:tcPr>
          <w:p>
            <w:pPr/>
            <w:r>
              <w:rPr/>
              <w:t xml:space="preserve">Lehetőleg változatos, szépen formázható, egymással harmonizáló fákat, cserjéket vegyesen.</w:t>
            </w:r>
          </w:p>
        </w:tc>
      </w:tr>
      <w:tr>
        <w:trPr/>
        <w:tc>
          <w:tcPr>
            <w:tcW w:w="11000" w:type="dxa"/>
            <w:vAlign w:val="center"/>
            <w:noWrap/>
          </w:tcPr>
          <w:p>
            <w:pPr/>
            <w:r>
              <w:rPr/>
              <w:t xml:space="preserve">Mediterrán, hőséget és aszályt viselő növények, pl. levendula, rozmaring (sváb hagyományokra is tekintettel), kakukkfű, zsálya, mályva, yucca.</w:t>
            </w:r>
          </w:p>
        </w:tc>
      </w:tr>
      <w:tr>
        <w:trPr/>
        <w:tc>
          <w:tcPr>
            <w:tcW w:w="11000" w:type="dxa"/>
            <w:vAlign w:val="center"/>
            <w:noWrap/>
          </w:tcPr>
          <w:p>
            <w:pPr/>
            <w:r>
              <w:rPr/>
              <w:t xml:space="preserve">Inkább örökzöldeket javaslok, az őszi lombhullás, majd eltakarítása miatt.</w:t>
            </w:r>
          </w:p>
        </w:tc>
      </w:tr>
      <w:tr>
        <w:trPr/>
        <w:tc>
          <w:tcPr>
            <w:tcW w:w="11000" w:type="dxa"/>
            <w:vAlign w:val="center"/>
            <w:noWrap/>
          </w:tcPr>
          <w:p>
            <w:pPr/>
            <w:r>
              <w:rPr/>
              <w:t xml:space="preserve">Ide nem javaslok semmit.Alakítsanak ki Nagytétényben ilyeneket.Úgy is mindíg ,minden ott van???</w:t>
            </w:r>
          </w:p>
        </w:tc>
      </w:tr>
      <w:tr>
        <w:trPr/>
        <w:tc>
          <w:tcPr>
            <w:tcW w:w="11000" w:type="dxa"/>
            <w:vAlign w:val="center"/>
            <w:noWrap/>
          </w:tcPr>
          <w:p>
            <w:pPr/>
            <w:r>
              <w:rPr/>
              <w:t xml:space="preserve">beporzóbarát növényeket: mézontófű, barátcserje, hosszan virágzó növények, amik tavasztól őszig virágoznak</w:t>
            </w:r>
          </w:p>
        </w:tc>
      </w:tr>
      <w:tr>
        <w:trPr/>
        <w:tc>
          <w:tcPr>
            <w:tcW w:w="11000" w:type="dxa"/>
            <w:vAlign w:val="center"/>
            <w:noWrap/>
          </w:tcPr>
          <w:p>
            <w:pPr/>
            <w:r>
              <w:rPr/>
              <w:t xml:space="preserve">Van erre remek csapata az Önkormányzatnak - megbizom a tudásukban.</w:t>
            </w:r>
          </w:p>
        </w:tc>
      </w:tr>
      <w:tr>
        <w:trPr/>
        <w:tc>
          <w:tcPr>
            <w:tcW w:w="11000" w:type="dxa"/>
            <w:vAlign w:val="center"/>
            <w:noWrap/>
          </w:tcPr>
          <w:p>
            <w:pPr/>
            <w:r>
              <w:rPr/>
              <w:t xml:space="preserve">Gyümölcsfák, ribizlibokrok, almafa, szôlô, gesztenyefa, tölgyfa, sok-sok zöldterület!</w:t>
            </w:r>
          </w:p>
        </w:tc>
      </w:tr>
      <w:tr>
        <w:trPr/>
        <w:tc>
          <w:tcPr>
            <w:tcW w:w="11000" w:type="dxa"/>
            <w:vAlign w:val="center"/>
            <w:noWrap/>
          </w:tcPr>
          <w:p>
            <w:pPr/>
            <w:r>
              <w:rPr/>
              <w:t xml:space="preserve">Fenyőfa, babér</w:t>
            </w:r>
          </w:p>
        </w:tc>
      </w:tr>
      <w:tr>
        <w:trPr/>
        <w:tc>
          <w:tcPr>
            <w:tcW w:w="11000" w:type="dxa"/>
            <w:vAlign w:val="center"/>
            <w:noWrap/>
          </w:tcPr>
          <w:p>
            <w:pPr/>
            <w:r>
              <w:rPr/>
              <w:t xml:space="preserve">Csakis őshonos, nem invazív fajokat. Esetleg a Városháza térről nemrég kivágott szelídgesztenye pótlására 3-4db ültetése. Tisza fát is szívesen látnék, de utóbbit olyan helyre ahol 1000%, hogy sose lesz semmi építve. Ezen fák sok száz évig élnek.</w:t>
            </w:r>
          </w:p>
        </w:tc>
      </w:tr>
      <w:tr>
        <w:trPr/>
        <w:tc>
          <w:tcPr>
            <w:tcW w:w="11000" w:type="dxa"/>
            <w:vAlign w:val="center"/>
            <w:noWrap/>
          </w:tcPr>
          <w:p>
            <w:pPr/>
            <w:r>
              <w:rPr/>
              <w:t xml:space="preserve">ami bírja a száraz, meleg nyarakat</w:t>
            </w:r>
          </w:p>
        </w:tc>
      </w:tr>
      <w:tr>
        <w:trPr/>
        <w:tc>
          <w:tcPr>
            <w:tcW w:w="11000" w:type="dxa"/>
            <w:vAlign w:val="center"/>
            <w:noWrap/>
          </w:tcPr>
          <w:p>
            <w:pPr/>
            <w:r>
              <w:rPr/>
              <w:t xml:space="preserve">Vadgesztenyefa.</w:t>
            </w:r>
          </w:p>
        </w:tc>
      </w:tr>
      <w:tr>
        <w:trPr/>
        <w:tc>
          <w:tcPr>
            <w:tcW w:w="11000" w:type="dxa"/>
            <w:vAlign w:val="center"/>
            <w:noWrap/>
          </w:tcPr>
          <w:p>
            <w:pPr/>
            <w:r>
              <w:rPr/>
              <w:t xml:space="preserve">Fásítsatok, őshonos fákkal, amik árnyékot ad nyáron, sztem nem pampafű és az egynyári növények a fontosan, hanem sokkal inkább a fásítás</w:t>
            </w:r>
          </w:p>
        </w:tc>
      </w:tr>
      <w:tr>
        <w:trPr/>
        <w:tc>
          <w:tcPr>
            <w:tcW w:w="11000" w:type="dxa"/>
            <w:vAlign w:val="center"/>
            <w:noWrap/>
          </w:tcPr>
          <w:p>
            <w:pPr/>
            <w:r>
              <w:rPr/>
              <w:t xml:space="preserve">őshonos lombos fákat, bokrokat - pl.: tölgy, bükk, hárs, éger, nyírfa</w:t>
            </w:r>
          </w:p>
        </w:tc>
      </w:tr>
      <w:tr>
        <w:trPr/>
        <w:tc>
          <w:tcPr>
            <w:tcW w:w="11000" w:type="dxa"/>
            <w:vAlign w:val="center"/>
            <w:noWrap/>
          </w:tcPr>
          <w:p>
            <w:pPr/>
            <w:r>
              <w:rPr/>
              <w:t xml:space="preserve">Juhar</w:t>
            </w:r>
          </w:p>
        </w:tc>
      </w:tr>
      <w:tr>
        <w:trPr/>
        <w:tc>
          <w:tcPr>
            <w:tcW w:w="11000" w:type="dxa"/>
            <w:vAlign w:val="center"/>
            <w:noWrap/>
          </w:tcPr>
          <w:p>
            <w:pPr/>
            <w:r>
              <w:rPr/>
              <w:t xml:space="preserve">Buxus,aucuba, japán díszcseresznye csüngő</w:t>
            </w:r>
          </w:p>
        </w:tc>
      </w:tr>
      <w:tr>
        <w:trPr/>
        <w:tc>
          <w:tcPr>
            <w:tcW w:w="11000" w:type="dxa"/>
            <w:vAlign w:val="center"/>
            <w:noWrap/>
          </w:tcPr>
          <w:p>
            <w:pPr/>
            <w:r>
              <w:rPr/>
              <w:t xml:space="preserve">Pampafüvet semmiképp, milyen primitív kérdőív ez már?! A növényválasztás pedig tájépítész tervezői hatáskör és kompetencia! És egynyéári abszolút ne legyen, a Bardóczi szerint az egynyári a közterületek műanyag evőeszköze. Nagyon szakmaiatlan még a kérdés is! Abból az aránytalan fenntartási kötlséget csoportosítsák át a fák és cserjék fenntartására, esetleg a Tóth József körforgalom szakszerű gyommentesítésére, mert nyáron a parlagfű magasabb volt, mint a Calamagrostis! Esetleg bízzanak meg évelőművészt, aki nem a 20 évvel ezelőtti elavult egyetemi fajlistából tervez. Költsenek precíz építésre és szakszerű fenntartásra, ne tegyét tele a parkot fenntarthatatlan egynyári ágyakkal és hagymásokkal. Nincs főtájépítész, főkertész a kerületben?</w:t>
            </w:r>
          </w:p>
        </w:tc>
      </w:tr>
      <w:tr>
        <w:trPr/>
        <w:tc>
          <w:tcPr>
            <w:tcW w:w="11000" w:type="dxa"/>
            <w:vAlign w:val="center"/>
            <w:noWrap/>
          </w:tcPr>
          <w:p>
            <w:pPr/>
            <w:r>
              <w:rPr/>
              <w:t xml:space="preserve">Babérmeggy
Berkenye</w:t>
            </w:r>
          </w:p>
        </w:tc>
      </w:tr>
      <w:tr>
        <w:trPr/>
        <w:tc>
          <w:tcPr>
            <w:tcW w:w="11000" w:type="dxa"/>
            <w:vAlign w:val="center"/>
            <w:noWrap/>
          </w:tcPr>
          <w:p>
            <w:pPr/>
            <w:r>
              <w:rPr/>
              <w:t xml:space="preserve">lila és fehér tulipánfa (magnólia) is !</w:t>
            </w:r>
          </w:p>
        </w:tc>
      </w:tr>
      <w:tr>
        <w:trPr/>
        <w:tc>
          <w:tcPr>
            <w:tcW w:w="11000" w:type="dxa"/>
            <w:vAlign w:val="center"/>
            <w:noWrap/>
          </w:tcPr>
          <w:p>
            <w:pPr/>
            <w:r>
              <w:rPr/>
              <w:t xml:space="preserve">Nőivarú, hogy ne legyen annyi pollenszennyezés</w:t>
            </w:r>
          </w:p>
        </w:tc>
      </w:tr>
    </w:tbl>
    <w:p/>
    <w:p>
      <w:pPr/>
      <w:r>
        <w:rPr>
          <w:sz w:val="24"/>
          <w:szCs w:val="24"/>
          <w:i w:val="1"/>
          <w:iCs w:val="1"/>
        </w:rPr>
        <w:t xml:space="preserve">További 113 válasz megtekintéséhez válassza az: "Excel CSV teljes" exportálási típust.</w:t>
      </w:r>
    </w:p>
    <w:p/>
    <w:p>
      <w:pPr>
        <w:jc w:val="right"/>
      </w:pPr>
      <w:r>
        <w:rPr>
          <w:sz w:val="24"/>
          <w:szCs w:val="24"/>
          <w:b w:val="1"/>
          <w:bCs w:val="1"/>
        </w:rPr>
        <w:t xml:space="preserve">138</w:t>
      </w:r>
      <w:r>
        <w:rPr>
          <w:sz w:val="24"/>
          <w:szCs w:val="24"/>
        </w:rPr>
        <w:t xml:space="preserve"> kitöltőtől összesen </w:t>
      </w:r>
      <w:r>
        <w:rPr>
          <w:sz w:val="24"/>
          <w:szCs w:val="24"/>
          <w:b w:val="1"/>
          <w:bCs w:val="1"/>
        </w:rPr>
        <w:t xml:space="preserve">138</w:t>
      </w:r>
      <w:r>
        <w:rPr>
          <w:sz w:val="24"/>
          <w:szCs w:val="24"/>
        </w:rPr>
        <w:t xml:space="preserve"> válasz</w:t>
      </w:r>
    </w:p>
    <w:p>
      <w:pPr>
        <w:sectPr>
          <w:pgSz w:orient="portrait" w:w="11905.511811023622" w:h="16837.79527559055"/>
          <w:pgMar w:top="600" w:right="600" w:bottom="600" w:left="600" w:header="720" w:footer="720" w:gutter="0"/>
          <w:cols w:num="1" w:space="720"/>
        </w:sectPr>
      </w:pPr>
    </w:p>
    <w:p>
      <w:pPr>
        <w:pStyle w:val="Heading1"/>
      </w:pPr>
      <w:bookmarkStart w:id="12" w:name="_Toc12"/>
      <w:r>
        <w:t>Kérjük, értékelje egyenként, hogy mennyire tartja fontosnak egy vízjáték alábbi tulajdonságait?</w:t>
      </w:r>
      <w:bookmarkEnd w:id="12"/>
    </w:p>
    <w:tbl>
      <w:tblGrid>
        <w:gridCol w:w="9000" w:type="dxa"/>
        <w:gridCol w:w="900" w:type="dxa"/>
        <w:gridCol w:w="900" w:type="dxa"/>
      </w:tblGrid>
      <w:tblPr>
        <w:tblStyle w:val="StatTable"/>
      </w:tblPr>
      <w:tr>
        <w:trPr/>
        <w:tc>
          <w:tcPr>
            <w:tcW w:w="9000" w:type="dxa"/>
            <w:vAlign w:val="center"/>
            <w:noWrap/>
          </w:tcPr>
          <w:p>
            <w:pPr/>
            <w:r>
              <w:rPr>
                <w:sz w:val="24"/>
                <w:szCs w:val="24"/>
                <w:b w:val="1"/>
                <w:bCs w:val="1"/>
              </w:rPr>
              <w:t xml:space="preserve">Válasz</w:t>
            </w:r>
          </w:p>
        </w:tc>
        <w:tc>
          <w:tcPr>
            <w:tcW w:w="900" w:type="dxa"/>
            <w:vAlign w:val="center"/>
            <w:noWrap/>
          </w:tcPr>
          <w:p>
            <w:pPr>
              <w:jc w:val="center"/>
            </w:pPr>
            <w:r>
              <w:rPr>
                <w:sz w:val="24"/>
                <w:szCs w:val="24"/>
                <w:b w:val="1"/>
                <w:bCs w:val="1"/>
              </w:rPr>
              <w:t xml:space="preserve">db</w:t>
            </w:r>
          </w:p>
        </w:tc>
        <w:tc>
          <w:tcPr>
            <w:tcW w:w="900" w:type="dxa"/>
            <w:vAlign w:val="center"/>
            <w:noWrap/>
          </w:tcPr>
          <w:p>
            <w:pPr>
              <w:jc w:val="center"/>
            </w:pPr>
            <w:r>
              <w:rPr>
                <w:sz w:val="24"/>
                <w:szCs w:val="24"/>
                <w:b w:val="1"/>
                <w:bCs w:val="1"/>
              </w:rPr>
              <w:t xml:space="preserve">%</w:t>
            </w:r>
          </w:p>
        </w:tc>
      </w:tr>
      <w:tr>
        <w:trPr/>
        <w:tc>
          <w:tcPr>
            <w:tcW w:w="9000" w:type="dxa"/>
            <w:vAlign w:val="center"/>
            <w:gridSpan w:val="3"/>
            <w:noWrap/>
          </w:tcPr>
          <w:p>
            <w:pPr/>
            <w:r>
              <w:rPr>
                <w:sz w:val="24"/>
                <w:szCs w:val="24"/>
              </w:rPr>
              <w:t xml:space="preserve">Látványos, színes fényjátékos</w:t>
            </w:r>
          </w:p>
        </w:tc>
      </w:tr>
      <w:tr>
        <w:trPr/>
        <w:tc>
          <w:tcPr>
            <w:tcW w:w="9000" w:type="dxa"/>
            <w:vAlign w:val="center"/>
            <w:noWrap/>
          </w:tcPr>
          <w:p>
            <w:pPr/>
            <w:r>
              <w:rPr>
                <w:sz w:val="20"/>
                <w:szCs w:val="20"/>
              </w:rPr>
              <w:t xml:space="preserve">      1</w:t>
            </w:r>
          </w:p>
        </w:tc>
        <w:tc>
          <w:tcPr>
            <w:tcW w:w="900" w:type="dxa"/>
            <w:vAlign w:val="center"/>
            <w:noWrap/>
          </w:tcPr>
          <w:p>
            <w:pPr>
              <w:jc w:val="center"/>
            </w:pPr>
            <w:r>
              <w:rPr>
                <w:sz w:val="20"/>
                <w:szCs w:val="20"/>
              </w:rPr>
              <w:t xml:space="preserve">117</w:t>
            </w:r>
          </w:p>
        </w:tc>
        <w:tc>
          <w:tcPr>
            <w:tcW w:w="900" w:type="dxa"/>
            <w:vAlign w:val="center"/>
            <w:noWrap/>
          </w:tcPr>
          <w:p>
            <w:pPr>
              <w:jc w:val="center"/>
            </w:pPr>
            <w:r>
              <w:rPr>
                <w:sz w:val="20"/>
                <w:szCs w:val="20"/>
              </w:rPr>
              <w:t xml:space="preserve">30%</w:t>
            </w:r>
          </w:p>
        </w:tc>
      </w:tr>
      <w:tr>
        <w:trPr/>
        <w:tc>
          <w:tcPr>
            <w:tcW w:w="9000" w:type="dxa"/>
            <w:vAlign w:val="center"/>
            <w:noWrap/>
          </w:tcPr>
          <w:p>
            <w:pPr/>
            <w:r>
              <w:rPr>
                <w:sz w:val="20"/>
                <w:szCs w:val="20"/>
              </w:rPr>
              <w:t xml:space="preserve">      2</w:t>
            </w:r>
          </w:p>
        </w:tc>
        <w:tc>
          <w:tcPr>
            <w:tcW w:w="900" w:type="dxa"/>
            <w:vAlign w:val="center"/>
            <w:noWrap/>
          </w:tcPr>
          <w:p>
            <w:pPr>
              <w:jc w:val="center"/>
            </w:pPr>
            <w:r>
              <w:rPr>
                <w:sz w:val="20"/>
                <w:szCs w:val="20"/>
              </w:rPr>
              <w:t xml:space="preserve">54</w:t>
            </w:r>
          </w:p>
        </w:tc>
        <w:tc>
          <w:tcPr>
            <w:tcW w:w="900" w:type="dxa"/>
            <w:vAlign w:val="center"/>
            <w:noWrap/>
          </w:tcPr>
          <w:p>
            <w:pPr>
              <w:jc w:val="center"/>
            </w:pPr>
            <w:r>
              <w:rPr>
                <w:sz w:val="20"/>
                <w:szCs w:val="20"/>
              </w:rPr>
              <w:t xml:space="preserve">13.8%</w:t>
            </w:r>
          </w:p>
        </w:tc>
      </w:tr>
      <w:tr>
        <w:trPr/>
        <w:tc>
          <w:tcPr>
            <w:tcW w:w="9000" w:type="dxa"/>
            <w:vAlign w:val="center"/>
            <w:noWrap/>
          </w:tcPr>
          <w:p>
            <w:pPr/>
            <w:r>
              <w:rPr>
                <w:sz w:val="20"/>
                <w:szCs w:val="20"/>
              </w:rPr>
              <w:t xml:space="preserve">      3</w:t>
            </w:r>
          </w:p>
        </w:tc>
        <w:tc>
          <w:tcPr>
            <w:tcW w:w="900" w:type="dxa"/>
            <w:vAlign w:val="center"/>
            <w:noWrap/>
          </w:tcPr>
          <w:p>
            <w:pPr>
              <w:jc w:val="center"/>
            </w:pPr>
            <w:r>
              <w:rPr>
                <w:sz w:val="20"/>
                <w:szCs w:val="20"/>
              </w:rPr>
              <w:t xml:space="preserve">96</w:t>
            </w:r>
          </w:p>
        </w:tc>
        <w:tc>
          <w:tcPr>
            <w:tcW w:w="900" w:type="dxa"/>
            <w:vAlign w:val="center"/>
            <w:noWrap/>
          </w:tcPr>
          <w:p>
            <w:pPr>
              <w:jc w:val="center"/>
            </w:pPr>
            <w:r>
              <w:rPr>
                <w:sz w:val="20"/>
                <w:szCs w:val="20"/>
              </w:rPr>
              <w:t xml:space="preserve">24.6%</w:t>
            </w:r>
          </w:p>
        </w:tc>
      </w:tr>
      <w:tr>
        <w:trPr/>
        <w:tc>
          <w:tcPr>
            <w:tcW w:w="9000" w:type="dxa"/>
            <w:vAlign w:val="center"/>
            <w:noWrap/>
          </w:tcPr>
          <w:p>
            <w:pPr/>
            <w:r>
              <w:rPr>
                <w:sz w:val="20"/>
                <w:szCs w:val="20"/>
              </w:rPr>
              <w:t xml:space="preserve">      4</w:t>
            </w:r>
          </w:p>
        </w:tc>
        <w:tc>
          <w:tcPr>
            <w:tcW w:w="900" w:type="dxa"/>
            <w:vAlign w:val="center"/>
            <w:noWrap/>
          </w:tcPr>
          <w:p>
            <w:pPr>
              <w:jc w:val="center"/>
            </w:pPr>
            <w:r>
              <w:rPr>
                <w:sz w:val="20"/>
                <w:szCs w:val="20"/>
              </w:rPr>
              <w:t xml:space="preserve">46</w:t>
            </w:r>
          </w:p>
        </w:tc>
        <w:tc>
          <w:tcPr>
            <w:tcW w:w="900" w:type="dxa"/>
            <w:vAlign w:val="center"/>
            <w:noWrap/>
          </w:tcPr>
          <w:p>
            <w:pPr>
              <w:jc w:val="center"/>
            </w:pPr>
            <w:r>
              <w:rPr>
                <w:sz w:val="20"/>
                <w:szCs w:val="20"/>
              </w:rPr>
              <w:t xml:space="preserve">11.8%</w:t>
            </w:r>
          </w:p>
        </w:tc>
      </w:tr>
      <w:tr>
        <w:trPr/>
        <w:tc>
          <w:tcPr>
            <w:tcW w:w="9000" w:type="dxa"/>
            <w:vAlign w:val="center"/>
            <w:noWrap/>
          </w:tcPr>
          <w:p>
            <w:pPr/>
            <w:r>
              <w:rPr>
                <w:sz w:val="20"/>
                <w:szCs w:val="20"/>
              </w:rPr>
              <w:t xml:space="preserve">      5</w:t>
            </w:r>
          </w:p>
        </w:tc>
        <w:tc>
          <w:tcPr>
            <w:tcW w:w="900" w:type="dxa"/>
            <w:vAlign w:val="center"/>
            <w:noWrap/>
          </w:tcPr>
          <w:p>
            <w:pPr>
              <w:jc w:val="center"/>
            </w:pPr>
            <w:r>
              <w:rPr>
                <w:sz w:val="20"/>
                <w:szCs w:val="20"/>
              </w:rPr>
              <w:t xml:space="preserve">77</w:t>
            </w:r>
          </w:p>
        </w:tc>
        <w:tc>
          <w:tcPr>
            <w:tcW w:w="900" w:type="dxa"/>
            <w:vAlign w:val="center"/>
            <w:noWrap/>
          </w:tcPr>
          <w:p>
            <w:pPr>
              <w:jc w:val="center"/>
            </w:pPr>
            <w:r>
              <w:rPr>
                <w:sz w:val="20"/>
                <w:szCs w:val="20"/>
              </w:rPr>
              <w:t xml:space="preserve">19.7%</w:t>
            </w:r>
          </w:p>
        </w:tc>
      </w:tr>
      <w:tr>
        <w:trPr/>
        <w:tc>
          <w:tcPr>
            <w:tcW w:w="9000" w:type="dxa"/>
            <w:vAlign w:val="center"/>
            <w:noWrap/>
          </w:tcPr>
          <w:p/>
        </w:tc>
        <w:tc>
          <w:tcPr>
            <w:tcW w:w="900" w:type="dxa"/>
            <w:vAlign w:val="center"/>
            <w:gridSpan w:val="2"/>
            <w:noWrap/>
          </w:tcPr>
          <w:p>
            <w:pPr>
              <w:jc w:val="center"/>
            </w:pPr>
            <w:r>
              <w:rPr>
                <w:b w:val="1"/>
                <w:bCs w:val="1"/>
              </w:rPr>
              <w:t xml:space="preserve">390</w:t>
            </w:r>
          </w:p>
        </w:tc>
      </w:tr>
      <w:tr>
        <w:trPr/>
        <w:tc>
          <w:tcPr>
            <w:tcW w:w="9000" w:type="dxa"/>
            <w:vAlign w:val="center"/>
            <w:gridSpan w:val="3"/>
            <w:noWrap/>
          </w:tcPr>
          <w:p>
            <w:pPr/>
            <w:r>
              <w:rPr>
                <w:sz w:val="24"/>
                <w:szCs w:val="24"/>
              </w:rPr>
              <w:t xml:space="preserve">Természetes, visszafogott formavilágú</w:t>
            </w:r>
          </w:p>
        </w:tc>
      </w:tr>
      <w:tr>
        <w:trPr/>
        <w:tc>
          <w:tcPr>
            <w:tcW w:w="9000" w:type="dxa"/>
            <w:vAlign w:val="center"/>
            <w:noWrap/>
          </w:tcPr>
          <w:p>
            <w:pPr/>
            <w:r>
              <w:rPr>
                <w:sz w:val="20"/>
                <w:szCs w:val="20"/>
              </w:rPr>
              <w:t xml:space="preserve">      1</w:t>
            </w:r>
          </w:p>
        </w:tc>
        <w:tc>
          <w:tcPr>
            <w:tcW w:w="900" w:type="dxa"/>
            <w:vAlign w:val="center"/>
            <w:noWrap/>
          </w:tcPr>
          <w:p>
            <w:pPr>
              <w:jc w:val="center"/>
            </w:pPr>
            <w:r>
              <w:rPr>
                <w:sz w:val="20"/>
                <w:szCs w:val="20"/>
              </w:rPr>
              <w:t xml:space="preserve">41</w:t>
            </w:r>
          </w:p>
        </w:tc>
        <w:tc>
          <w:tcPr>
            <w:tcW w:w="900" w:type="dxa"/>
            <w:vAlign w:val="center"/>
            <w:noWrap/>
          </w:tcPr>
          <w:p>
            <w:pPr>
              <w:jc w:val="center"/>
            </w:pPr>
            <w:r>
              <w:rPr>
                <w:sz w:val="20"/>
                <w:szCs w:val="20"/>
              </w:rPr>
              <w:t xml:space="preserve">10.3%</w:t>
            </w:r>
          </w:p>
        </w:tc>
      </w:tr>
      <w:tr>
        <w:trPr/>
        <w:tc>
          <w:tcPr>
            <w:tcW w:w="9000" w:type="dxa"/>
            <w:vAlign w:val="center"/>
            <w:noWrap/>
          </w:tcPr>
          <w:p>
            <w:pPr/>
            <w:r>
              <w:rPr>
                <w:sz w:val="20"/>
                <w:szCs w:val="20"/>
              </w:rPr>
              <w:t xml:space="preserve">      2</w:t>
            </w:r>
          </w:p>
        </w:tc>
        <w:tc>
          <w:tcPr>
            <w:tcW w:w="900" w:type="dxa"/>
            <w:vAlign w:val="center"/>
            <w:noWrap/>
          </w:tcPr>
          <w:p>
            <w:pPr>
              <w:jc w:val="center"/>
            </w:pPr>
            <w:r>
              <w:rPr>
                <w:sz w:val="20"/>
                <w:szCs w:val="20"/>
              </w:rPr>
              <w:t xml:space="preserve">24</w:t>
            </w:r>
          </w:p>
        </w:tc>
        <w:tc>
          <w:tcPr>
            <w:tcW w:w="900" w:type="dxa"/>
            <w:vAlign w:val="center"/>
            <w:noWrap/>
          </w:tcPr>
          <w:p>
            <w:pPr>
              <w:jc w:val="center"/>
            </w:pPr>
            <w:r>
              <w:rPr>
                <w:sz w:val="20"/>
                <w:szCs w:val="20"/>
              </w:rPr>
              <w:t xml:space="preserve">6%</w:t>
            </w:r>
          </w:p>
        </w:tc>
      </w:tr>
      <w:tr>
        <w:trPr/>
        <w:tc>
          <w:tcPr>
            <w:tcW w:w="9000" w:type="dxa"/>
            <w:vAlign w:val="center"/>
            <w:noWrap/>
          </w:tcPr>
          <w:p>
            <w:pPr/>
            <w:r>
              <w:rPr>
                <w:sz w:val="20"/>
                <w:szCs w:val="20"/>
              </w:rPr>
              <w:t xml:space="preserve">      3</w:t>
            </w:r>
          </w:p>
        </w:tc>
        <w:tc>
          <w:tcPr>
            <w:tcW w:w="900" w:type="dxa"/>
            <w:vAlign w:val="center"/>
            <w:noWrap/>
          </w:tcPr>
          <w:p>
            <w:pPr>
              <w:jc w:val="center"/>
            </w:pPr>
            <w:r>
              <w:rPr>
                <w:sz w:val="20"/>
                <w:szCs w:val="20"/>
              </w:rPr>
              <w:t xml:space="preserve">70</w:t>
            </w:r>
          </w:p>
        </w:tc>
        <w:tc>
          <w:tcPr>
            <w:tcW w:w="900" w:type="dxa"/>
            <w:vAlign w:val="center"/>
            <w:noWrap/>
          </w:tcPr>
          <w:p>
            <w:pPr>
              <w:jc w:val="center"/>
            </w:pPr>
            <w:r>
              <w:rPr>
                <w:sz w:val="20"/>
                <w:szCs w:val="20"/>
              </w:rPr>
              <w:t xml:space="preserve">17.6%</w:t>
            </w:r>
          </w:p>
        </w:tc>
      </w:tr>
      <w:tr>
        <w:trPr/>
        <w:tc>
          <w:tcPr>
            <w:tcW w:w="9000" w:type="dxa"/>
            <w:vAlign w:val="center"/>
            <w:noWrap/>
          </w:tcPr>
          <w:p>
            <w:pPr/>
            <w:r>
              <w:rPr>
                <w:sz w:val="20"/>
                <w:szCs w:val="20"/>
              </w:rPr>
              <w:t xml:space="preserve">      4</w:t>
            </w:r>
          </w:p>
        </w:tc>
        <w:tc>
          <w:tcPr>
            <w:tcW w:w="900" w:type="dxa"/>
            <w:vAlign w:val="center"/>
            <w:noWrap/>
          </w:tcPr>
          <w:p>
            <w:pPr>
              <w:jc w:val="center"/>
            </w:pPr>
            <w:r>
              <w:rPr>
                <w:sz w:val="20"/>
                <w:szCs w:val="20"/>
              </w:rPr>
              <w:t xml:space="preserve">87</w:t>
            </w:r>
          </w:p>
        </w:tc>
        <w:tc>
          <w:tcPr>
            <w:tcW w:w="900" w:type="dxa"/>
            <w:vAlign w:val="center"/>
            <w:noWrap/>
          </w:tcPr>
          <w:p>
            <w:pPr>
              <w:jc w:val="center"/>
            </w:pPr>
            <w:r>
              <w:rPr>
                <w:sz w:val="20"/>
                <w:szCs w:val="20"/>
              </w:rPr>
              <w:t xml:space="preserve">21.9%</w:t>
            </w:r>
          </w:p>
        </w:tc>
      </w:tr>
      <w:tr>
        <w:trPr/>
        <w:tc>
          <w:tcPr>
            <w:tcW w:w="9000" w:type="dxa"/>
            <w:vAlign w:val="center"/>
            <w:noWrap/>
          </w:tcPr>
          <w:p>
            <w:pPr/>
            <w:r>
              <w:rPr>
                <w:sz w:val="20"/>
                <w:szCs w:val="20"/>
              </w:rPr>
              <w:t xml:space="preserve">      5</w:t>
            </w:r>
          </w:p>
        </w:tc>
        <w:tc>
          <w:tcPr>
            <w:tcW w:w="900" w:type="dxa"/>
            <w:vAlign w:val="center"/>
            <w:noWrap/>
          </w:tcPr>
          <w:p>
            <w:pPr>
              <w:jc w:val="center"/>
            </w:pPr>
            <w:r>
              <w:rPr>
                <w:sz w:val="20"/>
                <w:szCs w:val="20"/>
              </w:rPr>
              <w:t xml:space="preserve">176</w:t>
            </w:r>
          </w:p>
        </w:tc>
        <w:tc>
          <w:tcPr>
            <w:tcW w:w="900" w:type="dxa"/>
            <w:vAlign w:val="center"/>
            <w:noWrap/>
          </w:tcPr>
          <w:p>
            <w:pPr>
              <w:jc w:val="center"/>
            </w:pPr>
            <w:r>
              <w:rPr>
                <w:sz w:val="20"/>
                <w:szCs w:val="20"/>
              </w:rPr>
              <w:t xml:space="preserve">44.2%</w:t>
            </w:r>
          </w:p>
        </w:tc>
      </w:tr>
      <w:tr>
        <w:trPr/>
        <w:tc>
          <w:tcPr>
            <w:tcW w:w="9000" w:type="dxa"/>
            <w:vAlign w:val="center"/>
            <w:noWrap/>
          </w:tcPr>
          <w:p/>
        </w:tc>
        <w:tc>
          <w:tcPr>
            <w:tcW w:w="900" w:type="dxa"/>
            <w:vAlign w:val="center"/>
            <w:gridSpan w:val="2"/>
            <w:noWrap/>
          </w:tcPr>
          <w:p>
            <w:pPr>
              <w:jc w:val="center"/>
            </w:pPr>
            <w:r>
              <w:rPr>
                <w:b w:val="1"/>
                <w:bCs w:val="1"/>
              </w:rPr>
              <w:t xml:space="preserve">398</w:t>
            </w:r>
          </w:p>
        </w:tc>
      </w:tr>
      <w:tr>
        <w:trPr/>
        <w:tc>
          <w:tcPr>
            <w:tcW w:w="9000" w:type="dxa"/>
            <w:vAlign w:val="center"/>
            <w:gridSpan w:val="3"/>
            <w:noWrap/>
          </w:tcPr>
          <w:p>
            <w:pPr/>
            <w:r>
              <w:rPr>
                <w:sz w:val="24"/>
                <w:szCs w:val="24"/>
              </w:rPr>
              <w:t xml:space="preserve">Gyerekek által is használható „pancsoló" jellegű</w:t>
            </w:r>
          </w:p>
        </w:tc>
      </w:tr>
      <w:tr>
        <w:trPr/>
        <w:tc>
          <w:tcPr>
            <w:tcW w:w="9000" w:type="dxa"/>
            <w:vAlign w:val="center"/>
            <w:noWrap/>
          </w:tcPr>
          <w:p>
            <w:pPr/>
            <w:r>
              <w:rPr>
                <w:sz w:val="20"/>
                <w:szCs w:val="20"/>
              </w:rPr>
              <w:t xml:space="preserve">      1</w:t>
            </w:r>
          </w:p>
        </w:tc>
        <w:tc>
          <w:tcPr>
            <w:tcW w:w="900" w:type="dxa"/>
            <w:vAlign w:val="center"/>
            <w:noWrap/>
          </w:tcPr>
          <w:p>
            <w:pPr>
              <w:jc w:val="center"/>
            </w:pPr>
            <w:r>
              <w:rPr>
                <w:sz w:val="20"/>
                <w:szCs w:val="20"/>
              </w:rPr>
              <w:t xml:space="preserve">84</w:t>
            </w:r>
          </w:p>
        </w:tc>
        <w:tc>
          <w:tcPr>
            <w:tcW w:w="900" w:type="dxa"/>
            <w:vAlign w:val="center"/>
            <w:noWrap/>
          </w:tcPr>
          <w:p>
            <w:pPr>
              <w:jc w:val="center"/>
            </w:pPr>
            <w:r>
              <w:rPr>
                <w:sz w:val="20"/>
                <w:szCs w:val="20"/>
              </w:rPr>
              <w:t xml:space="preserve">20.4%</w:t>
            </w:r>
          </w:p>
        </w:tc>
      </w:tr>
      <w:tr>
        <w:trPr/>
        <w:tc>
          <w:tcPr>
            <w:tcW w:w="9000" w:type="dxa"/>
            <w:vAlign w:val="center"/>
            <w:noWrap/>
          </w:tcPr>
          <w:p>
            <w:pPr/>
            <w:r>
              <w:rPr>
                <w:sz w:val="20"/>
                <w:szCs w:val="20"/>
              </w:rPr>
              <w:t xml:space="preserve">      2</w:t>
            </w:r>
          </w:p>
        </w:tc>
        <w:tc>
          <w:tcPr>
            <w:tcW w:w="900" w:type="dxa"/>
            <w:vAlign w:val="center"/>
            <w:noWrap/>
          </w:tcPr>
          <w:p>
            <w:pPr>
              <w:jc w:val="center"/>
            </w:pPr>
            <w:r>
              <w:rPr>
                <w:sz w:val="20"/>
                <w:szCs w:val="20"/>
              </w:rPr>
              <w:t xml:space="preserve">34</w:t>
            </w:r>
          </w:p>
        </w:tc>
        <w:tc>
          <w:tcPr>
            <w:tcW w:w="900" w:type="dxa"/>
            <w:vAlign w:val="center"/>
            <w:noWrap/>
          </w:tcPr>
          <w:p>
            <w:pPr>
              <w:jc w:val="center"/>
            </w:pPr>
            <w:r>
              <w:rPr>
                <w:sz w:val="20"/>
                <w:szCs w:val="20"/>
              </w:rPr>
              <w:t xml:space="preserve">8.3%</w:t>
            </w:r>
          </w:p>
        </w:tc>
      </w:tr>
      <w:tr>
        <w:trPr/>
        <w:tc>
          <w:tcPr>
            <w:tcW w:w="9000" w:type="dxa"/>
            <w:vAlign w:val="center"/>
            <w:noWrap/>
          </w:tcPr>
          <w:p>
            <w:pPr/>
            <w:r>
              <w:rPr>
                <w:sz w:val="20"/>
                <w:szCs w:val="20"/>
              </w:rPr>
              <w:t xml:space="preserve">      3</w:t>
            </w:r>
          </w:p>
        </w:tc>
        <w:tc>
          <w:tcPr>
            <w:tcW w:w="900" w:type="dxa"/>
            <w:vAlign w:val="center"/>
            <w:noWrap/>
          </w:tcPr>
          <w:p>
            <w:pPr>
              <w:jc w:val="center"/>
            </w:pPr>
            <w:r>
              <w:rPr>
                <w:sz w:val="20"/>
                <w:szCs w:val="20"/>
              </w:rPr>
              <w:t xml:space="preserve">93</w:t>
            </w:r>
          </w:p>
        </w:tc>
        <w:tc>
          <w:tcPr>
            <w:tcW w:w="900" w:type="dxa"/>
            <w:vAlign w:val="center"/>
            <w:noWrap/>
          </w:tcPr>
          <w:p>
            <w:pPr>
              <w:jc w:val="center"/>
            </w:pPr>
            <w:r>
              <w:rPr>
                <w:sz w:val="20"/>
                <w:szCs w:val="20"/>
              </w:rPr>
              <w:t xml:space="preserve">22.6%</w:t>
            </w:r>
          </w:p>
        </w:tc>
      </w:tr>
      <w:tr>
        <w:trPr/>
        <w:tc>
          <w:tcPr>
            <w:tcW w:w="9000" w:type="dxa"/>
            <w:vAlign w:val="center"/>
            <w:noWrap/>
          </w:tcPr>
          <w:p>
            <w:pPr/>
            <w:r>
              <w:rPr>
                <w:sz w:val="20"/>
                <w:szCs w:val="20"/>
              </w:rPr>
              <w:t xml:space="preserve">      4</w:t>
            </w:r>
          </w:p>
        </w:tc>
        <w:tc>
          <w:tcPr>
            <w:tcW w:w="900" w:type="dxa"/>
            <w:vAlign w:val="center"/>
            <w:noWrap/>
          </w:tcPr>
          <w:p>
            <w:pPr>
              <w:jc w:val="center"/>
            </w:pPr>
            <w:r>
              <w:rPr>
                <w:sz w:val="20"/>
                <w:szCs w:val="20"/>
              </w:rPr>
              <w:t xml:space="preserve">52</w:t>
            </w:r>
          </w:p>
        </w:tc>
        <w:tc>
          <w:tcPr>
            <w:tcW w:w="900" w:type="dxa"/>
            <w:vAlign w:val="center"/>
            <w:noWrap/>
          </w:tcPr>
          <w:p>
            <w:pPr>
              <w:jc w:val="center"/>
            </w:pPr>
            <w:r>
              <w:rPr>
                <w:sz w:val="20"/>
                <w:szCs w:val="20"/>
              </w:rPr>
              <w:t xml:space="preserve">12.7%</w:t>
            </w:r>
          </w:p>
        </w:tc>
      </w:tr>
      <w:tr>
        <w:trPr/>
        <w:tc>
          <w:tcPr>
            <w:tcW w:w="9000" w:type="dxa"/>
            <w:vAlign w:val="center"/>
            <w:noWrap/>
          </w:tcPr>
          <w:p>
            <w:pPr/>
            <w:r>
              <w:rPr>
                <w:sz w:val="20"/>
                <w:szCs w:val="20"/>
              </w:rPr>
              <w:t xml:space="preserve">      5</w:t>
            </w:r>
          </w:p>
        </w:tc>
        <w:tc>
          <w:tcPr>
            <w:tcW w:w="900" w:type="dxa"/>
            <w:vAlign w:val="center"/>
            <w:noWrap/>
          </w:tcPr>
          <w:p>
            <w:pPr>
              <w:jc w:val="center"/>
            </w:pPr>
            <w:r>
              <w:rPr>
                <w:sz w:val="20"/>
                <w:szCs w:val="20"/>
              </w:rPr>
              <w:t xml:space="preserve">148</w:t>
            </w:r>
          </w:p>
        </w:tc>
        <w:tc>
          <w:tcPr>
            <w:tcW w:w="900" w:type="dxa"/>
            <w:vAlign w:val="center"/>
            <w:noWrap/>
          </w:tcPr>
          <w:p>
            <w:pPr>
              <w:jc w:val="center"/>
            </w:pPr>
            <w:r>
              <w:rPr>
                <w:sz w:val="20"/>
                <w:szCs w:val="20"/>
              </w:rPr>
              <w:t xml:space="preserve">36%</w:t>
            </w:r>
          </w:p>
        </w:tc>
      </w:tr>
      <w:tr>
        <w:trPr/>
        <w:tc>
          <w:tcPr>
            <w:tcW w:w="9000" w:type="dxa"/>
            <w:vAlign w:val="center"/>
            <w:noWrap/>
          </w:tcPr>
          <w:p/>
        </w:tc>
        <w:tc>
          <w:tcPr>
            <w:tcW w:w="900" w:type="dxa"/>
            <w:vAlign w:val="center"/>
            <w:gridSpan w:val="2"/>
            <w:noWrap/>
          </w:tcPr>
          <w:p>
            <w:pPr>
              <w:jc w:val="center"/>
            </w:pPr>
            <w:r>
              <w:rPr>
                <w:b w:val="1"/>
                <w:bCs w:val="1"/>
              </w:rPr>
              <w:t xml:space="preserve">411</w:t>
            </w:r>
          </w:p>
        </w:tc>
      </w:tr>
    </w:tbl>
    <w:p/>
    <w:p>
      <w:pPr>
        <w:jc w:val="right"/>
      </w:pPr>
      <w:r>
        <w:rPr>
          <w:sz w:val="24"/>
          <w:szCs w:val="24"/>
          <w:b w:val="1"/>
          <w:bCs w:val="1"/>
        </w:rPr>
        <w:t xml:space="preserve">423</w:t>
      </w:r>
      <w:r>
        <w:rPr>
          <w:sz w:val="24"/>
          <w:szCs w:val="24"/>
        </w:rPr>
        <w:t xml:space="preserve"> kitöltőtől összesen </w:t>
      </w:r>
      <w:r>
        <w:rPr>
          <w:sz w:val="24"/>
          <w:szCs w:val="24"/>
          <w:b w:val="1"/>
          <w:bCs w:val="1"/>
        </w:rPr>
        <w:t xml:space="preserve">1199</w:t>
      </w:r>
      <w:r>
        <w:rPr>
          <w:sz w:val="24"/>
          <w:szCs w:val="24"/>
        </w:rPr>
        <w:t xml:space="preserve"> válasz</w:t>
      </w:r>
    </w:p>
    <w:p>
      <w:r>
        <w:drawing>
          <wp:inline>
            <wp:extent cx="6858000" cy="5943600"/>
            <wp:docPr id="17" name="Chart17"/>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sectPr>
          <w:pgSz w:orient="portrait" w:w="11905.511811023622" w:h="16837.79527559055"/>
          <w:pgMar w:top="600" w:right="600" w:bottom="600" w:left="600" w:header="720" w:footer="720" w:gutter="0"/>
          <w:cols w:num="1" w:space="720"/>
        </w:sectPr>
      </w:pPr>
    </w:p>
    <w:p>
      <w:pPr>
        <w:pStyle w:val="Heading1"/>
      </w:pPr>
      <w:bookmarkStart w:id="13" w:name="_Toc13"/>
      <w:r>
        <w:t>Mennyire tartja fontosnak, hogy a vízjáték mellett meg lehessen pihenni, le lehessen ülni?</w:t>
      </w:r>
      <w:bookmarkEnd w:id="13"/>
    </w:p>
    <w:tbl>
      <w:tblGrid>
        <w:gridCol w:w="9000" w:type="dxa"/>
        <w:gridCol w:w="900" w:type="dxa"/>
        <w:gridCol w:w="900" w:type="dxa"/>
      </w:tblGrid>
      <w:tblPr>
        <w:tblStyle w:val="StatTable"/>
      </w:tblPr>
      <w:tr>
        <w:trPr/>
        <w:tc>
          <w:tcPr>
            <w:tcW w:w="9000" w:type="dxa"/>
            <w:vAlign w:val="center"/>
            <w:noWrap/>
          </w:tcPr>
          <w:p>
            <w:pPr/>
            <w:r>
              <w:rPr>
                <w:sz w:val="24"/>
                <w:szCs w:val="24"/>
                <w:b w:val="1"/>
                <w:bCs w:val="1"/>
              </w:rPr>
              <w:t xml:space="preserve">Válasz</w:t>
            </w:r>
          </w:p>
        </w:tc>
        <w:tc>
          <w:tcPr>
            <w:tcW w:w="900" w:type="dxa"/>
            <w:vAlign w:val="center"/>
            <w:noWrap/>
          </w:tcPr>
          <w:p>
            <w:pPr>
              <w:jc w:val="center"/>
            </w:pPr>
            <w:r>
              <w:rPr>
                <w:sz w:val="24"/>
                <w:szCs w:val="24"/>
                <w:b w:val="1"/>
                <w:bCs w:val="1"/>
              </w:rPr>
              <w:t xml:space="preserve">db</w:t>
            </w:r>
          </w:p>
        </w:tc>
        <w:tc>
          <w:tcPr>
            <w:tcW w:w="900" w:type="dxa"/>
            <w:vAlign w:val="center"/>
            <w:noWrap/>
          </w:tcPr>
          <w:p>
            <w:pPr>
              <w:jc w:val="center"/>
            </w:pPr>
            <w:r>
              <w:rPr>
                <w:sz w:val="24"/>
                <w:szCs w:val="24"/>
                <w:b w:val="1"/>
                <w:bCs w:val="1"/>
              </w:rPr>
              <w:t xml:space="preserve">%</w:t>
            </w:r>
          </w:p>
        </w:tc>
      </w:tr>
      <w:tr>
        <w:trPr/>
        <w:tc>
          <w:tcPr>
            <w:tcW w:w="9000" w:type="dxa"/>
            <w:vAlign w:val="center"/>
            <w:noWrap/>
          </w:tcPr>
          <w:p>
            <w:pPr/>
            <w:r>
              <w:rPr>
                <w:sz w:val="24"/>
                <w:szCs w:val="24"/>
              </w:rPr>
              <w:t xml:space="preserve">1</w:t>
            </w:r>
          </w:p>
        </w:tc>
        <w:tc>
          <w:tcPr>
            <w:tcW w:w="900" w:type="dxa"/>
            <w:vAlign w:val="center"/>
            <w:noWrap/>
          </w:tcPr>
          <w:p>
            <w:pPr>
              <w:jc w:val="center"/>
            </w:pPr>
            <w:r>
              <w:rPr>
                <w:sz w:val="24"/>
                <w:szCs w:val="24"/>
              </w:rPr>
              <w:t xml:space="preserve">22</w:t>
            </w:r>
          </w:p>
        </w:tc>
        <w:tc>
          <w:tcPr>
            <w:tcW w:w="900" w:type="dxa"/>
            <w:vAlign w:val="center"/>
            <w:noWrap/>
          </w:tcPr>
          <w:p>
            <w:pPr>
              <w:jc w:val="center"/>
            </w:pPr>
            <w:r>
              <w:rPr>
                <w:sz w:val="24"/>
                <w:szCs w:val="24"/>
              </w:rPr>
              <w:t xml:space="preserve">5.2%</w:t>
            </w:r>
          </w:p>
        </w:tc>
      </w:tr>
      <w:tr>
        <w:trPr/>
        <w:tc>
          <w:tcPr>
            <w:tcW w:w="9000" w:type="dxa"/>
            <w:vAlign w:val="center"/>
            <w:noWrap/>
          </w:tcPr>
          <w:p>
            <w:pPr/>
            <w:r>
              <w:rPr>
                <w:sz w:val="24"/>
                <w:szCs w:val="24"/>
              </w:rPr>
              <w:t xml:space="preserve">2</w:t>
            </w:r>
          </w:p>
        </w:tc>
        <w:tc>
          <w:tcPr>
            <w:tcW w:w="900" w:type="dxa"/>
            <w:vAlign w:val="center"/>
            <w:noWrap/>
          </w:tcPr>
          <w:p>
            <w:pPr>
              <w:jc w:val="center"/>
            </w:pPr>
            <w:r>
              <w:rPr>
                <w:sz w:val="24"/>
                <w:szCs w:val="24"/>
              </w:rPr>
              <w:t xml:space="preserve">4</w:t>
            </w:r>
          </w:p>
        </w:tc>
        <w:tc>
          <w:tcPr>
            <w:tcW w:w="900" w:type="dxa"/>
            <w:vAlign w:val="center"/>
            <w:noWrap/>
          </w:tcPr>
          <w:p>
            <w:pPr>
              <w:jc w:val="center"/>
            </w:pPr>
            <w:r>
              <w:rPr>
                <w:sz w:val="24"/>
                <w:szCs w:val="24"/>
              </w:rPr>
              <w:t xml:space="preserve">0.9%</w:t>
            </w:r>
          </w:p>
        </w:tc>
      </w:tr>
      <w:tr>
        <w:trPr/>
        <w:tc>
          <w:tcPr>
            <w:tcW w:w="9000" w:type="dxa"/>
            <w:vAlign w:val="center"/>
            <w:noWrap/>
          </w:tcPr>
          <w:p>
            <w:pPr/>
            <w:r>
              <w:rPr>
                <w:sz w:val="24"/>
                <w:szCs w:val="24"/>
              </w:rPr>
              <w:t xml:space="preserve">3</w:t>
            </w:r>
          </w:p>
        </w:tc>
        <w:tc>
          <w:tcPr>
            <w:tcW w:w="900" w:type="dxa"/>
            <w:vAlign w:val="center"/>
            <w:noWrap/>
          </w:tcPr>
          <w:p>
            <w:pPr>
              <w:jc w:val="center"/>
            </w:pPr>
            <w:r>
              <w:rPr>
                <w:sz w:val="24"/>
                <w:szCs w:val="24"/>
              </w:rPr>
              <w:t xml:space="preserve">25</w:t>
            </w:r>
          </w:p>
        </w:tc>
        <w:tc>
          <w:tcPr>
            <w:tcW w:w="900" w:type="dxa"/>
            <w:vAlign w:val="center"/>
            <w:noWrap/>
          </w:tcPr>
          <w:p>
            <w:pPr>
              <w:jc w:val="center"/>
            </w:pPr>
            <w:r>
              <w:rPr>
                <w:sz w:val="24"/>
                <w:szCs w:val="24"/>
              </w:rPr>
              <w:t xml:space="preserve">5.9%</w:t>
            </w:r>
          </w:p>
        </w:tc>
      </w:tr>
      <w:tr>
        <w:trPr/>
        <w:tc>
          <w:tcPr>
            <w:tcW w:w="9000" w:type="dxa"/>
            <w:vAlign w:val="center"/>
            <w:noWrap/>
          </w:tcPr>
          <w:p>
            <w:pPr/>
            <w:r>
              <w:rPr>
                <w:sz w:val="24"/>
                <w:szCs w:val="24"/>
              </w:rPr>
              <w:t xml:space="preserve">4</w:t>
            </w:r>
          </w:p>
        </w:tc>
        <w:tc>
          <w:tcPr>
            <w:tcW w:w="900" w:type="dxa"/>
            <w:vAlign w:val="center"/>
            <w:noWrap/>
          </w:tcPr>
          <w:p>
            <w:pPr>
              <w:jc w:val="center"/>
            </w:pPr>
            <w:r>
              <w:rPr>
                <w:sz w:val="24"/>
                <w:szCs w:val="24"/>
              </w:rPr>
              <w:t xml:space="preserve">76</w:t>
            </w:r>
          </w:p>
        </w:tc>
        <w:tc>
          <w:tcPr>
            <w:tcW w:w="900" w:type="dxa"/>
            <w:vAlign w:val="center"/>
            <w:noWrap/>
          </w:tcPr>
          <w:p>
            <w:pPr>
              <w:jc w:val="center"/>
            </w:pPr>
            <w:r>
              <w:rPr>
                <w:sz w:val="24"/>
                <w:szCs w:val="24"/>
              </w:rPr>
              <w:t xml:space="preserve">18%</w:t>
            </w:r>
          </w:p>
        </w:tc>
      </w:tr>
      <w:tr>
        <w:trPr/>
        <w:tc>
          <w:tcPr>
            <w:tcW w:w="9000" w:type="dxa"/>
            <w:vAlign w:val="center"/>
            <w:noWrap/>
          </w:tcPr>
          <w:p>
            <w:pPr/>
            <w:r>
              <w:rPr>
                <w:sz w:val="24"/>
                <w:szCs w:val="24"/>
              </w:rPr>
              <w:t xml:space="preserve">5</w:t>
            </w:r>
          </w:p>
        </w:tc>
        <w:tc>
          <w:tcPr>
            <w:tcW w:w="900" w:type="dxa"/>
            <w:vAlign w:val="center"/>
            <w:noWrap/>
          </w:tcPr>
          <w:p>
            <w:pPr>
              <w:jc w:val="center"/>
            </w:pPr>
            <w:r>
              <w:rPr>
                <w:sz w:val="24"/>
                <w:szCs w:val="24"/>
              </w:rPr>
              <w:t xml:space="preserve">296</w:t>
            </w:r>
          </w:p>
        </w:tc>
        <w:tc>
          <w:tcPr>
            <w:tcW w:w="900" w:type="dxa"/>
            <w:vAlign w:val="center"/>
            <w:noWrap/>
          </w:tcPr>
          <w:p>
            <w:pPr>
              <w:jc w:val="center"/>
            </w:pPr>
            <w:r>
              <w:rPr>
                <w:sz w:val="24"/>
                <w:szCs w:val="24"/>
              </w:rPr>
              <w:t xml:space="preserve">70%</w:t>
            </w:r>
          </w:p>
        </w:tc>
      </w:tr>
    </w:tbl>
    <w:p/>
    <w:p>
      <w:pPr>
        <w:jc w:val="right"/>
      </w:pPr>
      <w:r>
        <w:rPr>
          <w:sz w:val="24"/>
          <w:szCs w:val="24"/>
          <w:b w:val="1"/>
          <w:bCs w:val="1"/>
        </w:rPr>
        <w:t xml:space="preserve">423</w:t>
      </w:r>
      <w:r>
        <w:rPr>
          <w:sz w:val="24"/>
          <w:szCs w:val="24"/>
        </w:rPr>
        <w:t xml:space="preserve"> kitöltőtől összesen </w:t>
      </w:r>
      <w:r>
        <w:rPr>
          <w:sz w:val="24"/>
          <w:szCs w:val="24"/>
          <w:b w:val="1"/>
          <w:bCs w:val="1"/>
        </w:rPr>
        <w:t xml:space="preserve">423</w:t>
      </w:r>
      <w:r>
        <w:rPr>
          <w:sz w:val="24"/>
          <w:szCs w:val="24"/>
        </w:rPr>
        <w:t xml:space="preserve"> válasz</w:t>
      </w:r>
    </w:p>
    <w:p>
      <w:r>
        <w:drawing>
          <wp:inline>
            <wp:extent cx="6858000" cy="5943600"/>
            <wp:docPr id="18" name="Chart18"/>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sectPr>
          <w:pgSz w:orient="portrait" w:w="11905.511811023622" w:h="16837.79527559055"/>
          <w:pgMar w:top="600" w:right="600" w:bottom="600" w:left="600" w:header="720" w:footer="720" w:gutter="0"/>
          <w:cols w:num="1" w:space="720"/>
        </w:sectPr>
      </w:pPr>
    </w:p>
    <w:p>
      <w:pPr>
        <w:pStyle w:val="Heading1"/>
      </w:pPr>
      <w:bookmarkStart w:id="14" w:name="_Toc14"/>
      <w:r>
        <w:t>Van-e olyan vízjáték, amit pozitív példaként megemlítene? Miért?</w:t>
      </w:r>
      <w:bookmarkEnd w:id="14"/>
    </w:p>
    <w:tbl>
      <w:tblGrid>
        <w:gridCol w:w="11000" w:type="dxa"/>
      </w:tblGrid>
      <w:tblPr>
        <w:tblStyle w:val="TextTable"/>
      </w:tblPr>
      <w:tr>
        <w:trPr/>
        <w:tc>
          <w:tcPr>
            <w:tcW w:w="11000" w:type="dxa"/>
            <w:vAlign w:val="center"/>
            <w:noWrap/>
          </w:tcPr>
          <w:p>
            <w:pPr/>
            <w:r>
              <w:rPr/>
              <w:t xml:space="preserve">nincs</w:t>
            </w:r>
          </w:p>
        </w:tc>
      </w:tr>
      <w:tr>
        <w:trPr/>
        <w:tc>
          <w:tcPr>
            <w:tcW w:w="11000" w:type="dxa"/>
            <w:vAlign w:val="center"/>
            <w:noWrap/>
          </w:tcPr>
          <w:p>
            <w:pPr/>
            <w:r>
              <w:rPr/>
              <w:t xml:space="preserve">A lényeg, hogy ne legyen színváltós LED-ekkel tele, amik olcsó hangulatot kölcsönöznek neki, legyen egy színe, karaktere.</w:t>
            </w:r>
          </w:p>
        </w:tc>
      </w:tr>
      <w:tr>
        <w:trPr/>
        <w:tc>
          <w:tcPr>
            <w:tcW w:w="11000" w:type="dxa"/>
            <w:vAlign w:val="center"/>
            <w:noWrap/>
          </w:tcPr>
          <w:p>
            <w:pPr/>
            <w:r>
              <w:rPr/>
              <w:t xml:space="preserve">Olyat, ami nem csak az átadáskor működik, hanem utána is van benne víz, mivel rendszeresen karbantartják.</w:t>
            </w:r>
          </w:p>
        </w:tc>
      </w:tr>
      <w:tr>
        <w:trPr/>
        <w:tc>
          <w:tcPr>
            <w:tcW w:w="11000" w:type="dxa"/>
            <w:vAlign w:val="center"/>
            <w:noWrap/>
          </w:tcPr>
          <w:p>
            <w:pPr/>
            <w:r>
              <w:rPr/>
              <w:t xml:space="preserve">Bikás Parkban a felbukkanó vizsugarak, szökőkutak</w:t>
            </w:r>
          </w:p>
        </w:tc>
      </w:tr>
      <w:tr>
        <w:trPr/>
        <w:tc>
          <w:tcPr>
            <w:tcW w:w="11000" w:type="dxa"/>
            <w:vAlign w:val="center"/>
            <w:noWrap/>
          </w:tcPr>
          <w:p>
            <w:pPr/>
            <w:r>
              <w:rPr/>
              <w:t xml:space="preserve">Tulln, Attila fogadja Krimhildát.</w:t>
            </w:r>
          </w:p>
        </w:tc>
      </w:tr>
      <w:tr>
        <w:trPr/>
        <w:tc>
          <w:tcPr>
            <w:tcW w:w="11000" w:type="dxa"/>
            <w:vAlign w:val="center"/>
            <w:noWrap/>
          </w:tcPr>
          <w:p>
            <w:pPr/>
            <w:r>
              <w:rPr/>
              <w:t xml:space="preserve">nem tudok jelenleg ilyet</w:t>
            </w:r>
          </w:p>
        </w:tc>
      </w:tr>
      <w:tr>
        <w:trPr/>
        <w:tc>
          <w:tcPr>
            <w:tcW w:w="11000" w:type="dxa"/>
            <w:vAlign w:val="center"/>
            <w:noWrap/>
          </w:tcPr>
          <w:p>
            <w:pPr/>
            <w:r>
              <w:rPr/>
              <w:t xml:space="preserve">Kutyáknak itató medence.</w:t>
            </w:r>
          </w:p>
        </w:tc>
      </w:tr>
      <w:tr>
        <w:trPr/>
        <w:tc>
          <w:tcPr>
            <w:tcW w:w="11000" w:type="dxa"/>
            <w:vAlign w:val="center"/>
            <w:noWrap/>
          </w:tcPr>
          <w:p>
            <w:pPr/>
            <w:r>
              <w:rPr/>
              <w:t xml:space="preserve">Nem ismerek ilyet.</w:t>
            </w:r>
          </w:p>
        </w:tc>
      </w:tr>
      <w:tr>
        <w:trPr/>
        <w:tc>
          <w:tcPr>
            <w:tcW w:w="11000" w:type="dxa"/>
            <w:vAlign w:val="center"/>
            <w:noWrap/>
          </w:tcPr>
          <w:p>
            <w:pPr/>
            <w:r>
              <w:rPr/>
              <w:t xml:space="preserve">Nincs</w:t>
            </w:r>
          </w:p>
        </w:tc>
      </w:tr>
      <w:tr>
        <w:trPr/>
        <w:tc>
          <w:tcPr>
            <w:tcW w:w="11000" w:type="dxa"/>
            <w:vAlign w:val="center"/>
            <w:noWrap/>
          </w:tcPr>
          <w:p>
            <w:pPr/>
            <w:r>
              <w:rPr/>
              <w:t xml:space="preserve">Pl. Margit-szigeti</w:t>
            </w:r>
          </w:p>
        </w:tc>
      </w:tr>
      <w:tr>
        <w:trPr/>
        <w:tc>
          <w:tcPr>
            <w:tcW w:w="11000" w:type="dxa"/>
            <w:vAlign w:val="center"/>
            <w:noWrap/>
          </w:tcPr>
          <w:p>
            <w:pPr/>
            <w:r>
              <w:rPr/>
              <w:t xml:space="preserve">Járható felületű szökőkút, pl Corvin negyed (Futó utca), Szabadság tér (5. kerület) Az indokláshoz elég megnézni ezeket nyáron, az emberek HASZNÁLJÁK.</w:t>
            </w:r>
          </w:p>
        </w:tc>
      </w:tr>
      <w:tr>
        <w:trPr/>
        <w:tc>
          <w:tcPr>
            <w:tcW w:w="11000" w:type="dxa"/>
            <w:vAlign w:val="center"/>
            <w:noWrap/>
          </w:tcPr>
          <w:p>
            <w:pPr/>
            <w:r>
              <w:rPr/>
              <w:t xml:space="preserve">Azok a pozitív vízjátékok amik nem világítanak. Elég fényszennyezés van már így is.</w:t>
            </w:r>
          </w:p>
        </w:tc>
      </w:tr>
      <w:tr>
        <w:trPr/>
        <w:tc>
          <w:tcPr>
            <w:tcW w:w="11000" w:type="dxa"/>
            <w:vAlign w:val="center"/>
            <w:noWrap/>
          </w:tcPr>
          <w:p>
            <w:pPr/>
            <w:r>
              <w:rPr/>
              <w:t xml:space="preserve">-</w:t>
            </w:r>
          </w:p>
        </w:tc>
      </w:tr>
      <w:tr>
        <w:trPr/>
        <w:tc>
          <w:tcPr>
            <w:tcW w:w="11000" w:type="dxa"/>
            <w:vAlign w:val="center"/>
            <w:noWrap/>
          </w:tcPr>
          <w:p>
            <w:pPr/>
            <w:r>
              <w:rPr/>
              <w:t xml:space="preserve">Pazarlás nem kell!</w:t>
            </w:r>
          </w:p>
        </w:tc>
      </w:tr>
      <w:tr>
        <w:trPr/>
        <w:tc>
          <w:tcPr>
            <w:tcW w:w="11000" w:type="dxa"/>
            <w:vAlign w:val="center"/>
            <w:noWrap/>
          </w:tcPr>
          <w:p>
            <w:pPr/>
            <w:r>
              <w:rPr/>
              <w:t xml:space="preserve">Zenélő kút. Megnyugtat, lazít</w:t>
            </w:r>
          </w:p>
        </w:tc>
      </w:tr>
      <w:tr>
        <w:trPr/>
        <w:tc>
          <w:tcPr>
            <w:tcW w:w="11000" w:type="dxa"/>
            <w:vAlign w:val="center"/>
            <w:noWrap/>
          </w:tcPr>
          <w:p>
            <w:pPr/>
            <w:r>
              <w:rPr/>
              <w:t xml:space="preserve">sztem sokba kerül és csak akkor szép ha karbantartják rendszeresen</w:t>
            </w:r>
          </w:p>
        </w:tc>
      </w:tr>
      <w:tr>
        <w:trPr/>
        <w:tc>
          <w:tcPr>
            <w:tcW w:w="11000" w:type="dxa"/>
            <w:vAlign w:val="center"/>
            <w:noWrap/>
          </w:tcPr>
          <w:p>
            <w:pPr/>
            <w:r>
              <w:rPr/>
              <w:t xml:space="preserve">egyszerű, váltakozó "vízjátékos" szökőkút, vagy csobogó</w:t>
            </w:r>
          </w:p>
        </w:tc>
      </w:tr>
      <w:tr>
        <w:trPr/>
        <w:tc>
          <w:tcPr>
            <w:tcW w:w="11000" w:type="dxa"/>
            <w:vAlign w:val="center"/>
            <w:noWrap/>
          </w:tcPr>
          <w:p>
            <w:pPr/>
            <w:r>
              <w:rPr/>
              <w:t xml:space="preserve">Párásító, klímajavító vízarchitektúra kell, nem színes-szagos megvilágított giccsparádé. Ne legyen Gyula2.0 a kerület! És könyörgöm, csak olyat ervezzenek, amit fenn is tudnak tartani. Nem kell a csicsa, amit a kötelező fenntarttási időszak után be sem kapcsolnak, mert viszi a pénzt! ÉS hogy lehet ilyen baromságot kéredezuni, hogy gyerekenek pancsoló?! Arra külön kormányrendelet vonatkozik, sepciális engedélyek, szigorú ántsz vízminta-ellenőrzés. Ugyanmár, hogy lesz erre pénz és adminisztratív kapacitás? Ha beleh...zik a hajléktalan, utána hogy zárják le a vízarchitektúrát?! Ez olyan buta és tájékozatlan kérdés, miért kell Mari néninek Pista bácsinak meg Ubulka anyukájának ilyen ostobaságot egyáltalán feltenni? Nem dolgozik ebben a nyamvadt kerületben egy szakember? Főtájépítész, főkertész? Felháborítóan szakmaiatlan ez a kérdőív!</w:t>
            </w:r>
          </w:p>
        </w:tc>
      </w:tr>
      <w:tr>
        <w:trPr/>
        <w:tc>
          <w:tcPr>
            <w:tcW w:w="11000" w:type="dxa"/>
            <w:vAlign w:val="center"/>
            <w:noWrap/>
          </w:tcPr>
          <w:p>
            <w:pPr/>
            <w:r>
              <w:rPr/>
              <w:t xml:space="preserve">Füred Tagore-sétány; Siófok rózsakert;</w:t>
            </w:r>
          </w:p>
        </w:tc>
      </w:tr>
      <w:tr>
        <w:trPr/>
        <w:tc>
          <w:tcPr>
            <w:tcW w:w="11000" w:type="dxa"/>
            <w:vAlign w:val="center"/>
            <w:noWrap/>
          </w:tcPr>
          <w:p>
            <w:pPr/>
            <w:r>
              <w:rPr/>
              <w:t xml:space="preserve">Nincs</w:t>
            </w:r>
          </w:p>
        </w:tc>
      </w:tr>
      <w:tr>
        <w:trPr/>
        <w:tc>
          <w:tcPr>
            <w:tcW w:w="11000" w:type="dxa"/>
            <w:vAlign w:val="center"/>
            <w:noWrap/>
          </w:tcPr>
          <w:p>
            <w:pPr/>
            <w:r>
              <w:rPr/>
              <w:t xml:space="preserve">Szerintem ez nem ide való</w:t>
            </w:r>
          </w:p>
        </w:tc>
      </w:tr>
      <w:tr>
        <w:trPr/>
        <w:tc>
          <w:tcPr>
            <w:tcW w:w="11000" w:type="dxa"/>
            <w:vAlign w:val="center"/>
            <w:noWrap/>
          </w:tcPr>
          <w:p>
            <w:pPr/>
            <w:r>
              <w:rPr/>
              <w:t xml:space="preserve">Margitszigeti zenés, Verszályi kastély parkban szintén zenés.</w:t>
            </w:r>
          </w:p>
        </w:tc>
      </w:tr>
      <w:tr>
        <w:trPr/>
        <w:tc>
          <w:tcPr>
            <w:tcW w:w="11000" w:type="dxa"/>
            <w:vAlign w:val="center"/>
            <w:noWrap/>
          </w:tcPr>
          <w:p>
            <w:pPr/>
            <w:r>
              <w:rPr/>
              <w:t xml:space="preserve">padlóból változó magasságú vízoszlopok</w:t>
            </w:r>
          </w:p>
        </w:tc>
      </w:tr>
      <w:tr>
        <w:trPr/>
        <w:tc>
          <w:tcPr>
            <w:tcW w:w="11000" w:type="dxa"/>
            <w:vAlign w:val="center"/>
            <w:noWrap/>
          </w:tcPr>
          <w:p>
            <w:pPr/>
            <w:r>
              <w:rPr/>
              <w:t xml:space="preserve">Egyedi legyen Budafok hoz illő</w:t>
            </w:r>
          </w:p>
        </w:tc>
      </w:tr>
      <w:tr>
        <w:trPr/>
        <w:tc>
          <w:tcPr>
            <w:tcW w:w="11000" w:type="dxa"/>
            <w:vAlign w:val="center"/>
            <w:noWrap/>
          </w:tcPr>
          <w:p>
            <w:pPr/>
            <w:r>
              <w:rPr/>
              <w:t xml:space="preserve">csobogó - jó, nyugató hatású, kellemes hangja van
vízesés - látványos
Margit-szigeti szökőkút jut jó példaként eszembe</w:t>
            </w:r>
          </w:p>
        </w:tc>
      </w:tr>
    </w:tbl>
    <w:p/>
    <w:p>
      <w:pPr/>
      <w:r>
        <w:rPr>
          <w:sz w:val="24"/>
          <w:szCs w:val="24"/>
          <w:i w:val="1"/>
          <w:iCs w:val="1"/>
        </w:rPr>
        <w:t xml:space="preserve">További 57 válasz megtekintéséhez válassza az: "Excel CSV teljes" exportálási típust.</w:t>
      </w:r>
    </w:p>
    <w:p/>
    <w:p>
      <w:pPr>
        <w:jc w:val="right"/>
      </w:pPr>
      <w:r>
        <w:rPr>
          <w:sz w:val="24"/>
          <w:szCs w:val="24"/>
          <w:b w:val="1"/>
          <w:bCs w:val="1"/>
        </w:rPr>
        <w:t xml:space="preserve">82</w:t>
      </w:r>
      <w:r>
        <w:rPr>
          <w:sz w:val="24"/>
          <w:szCs w:val="24"/>
        </w:rPr>
        <w:t xml:space="preserve"> kitöltőtől összesen </w:t>
      </w:r>
      <w:r>
        <w:rPr>
          <w:sz w:val="24"/>
          <w:szCs w:val="24"/>
          <w:b w:val="1"/>
          <w:bCs w:val="1"/>
        </w:rPr>
        <w:t xml:space="preserve">82</w:t>
      </w:r>
      <w:r>
        <w:rPr>
          <w:sz w:val="24"/>
          <w:szCs w:val="24"/>
        </w:rPr>
        <w:t xml:space="preserve"> válasz</w:t>
      </w:r>
    </w:p>
    <w:p>
      <w:pPr>
        <w:sectPr>
          <w:pgSz w:orient="portrait" w:w="11905.511811023622" w:h="16837.79527559055"/>
          <w:pgMar w:top="600" w:right="600" w:bottom="600" w:left="600" w:header="720" w:footer="720" w:gutter="0"/>
          <w:cols w:num="1" w:space="720"/>
        </w:sectPr>
      </w:pPr>
    </w:p>
    <w:p>
      <w:pPr>
        <w:pStyle w:val="Heading1"/>
      </w:pPr>
      <w:bookmarkStart w:id="15" w:name="_Toc15"/>
      <w:r>
        <w:t>Milyen egyéb köztéri attrakciót, látványelemet látna szívesen a területen, ami miatt szívesen jönne ide?</w:t>
      </w:r>
      <w:bookmarkEnd w:id="15"/>
    </w:p>
    <w:tbl>
      <w:tblGrid>
        <w:gridCol w:w="11000" w:type="dxa"/>
      </w:tblGrid>
      <w:tblPr>
        <w:tblStyle w:val="TextTable"/>
      </w:tblPr>
      <w:tr>
        <w:trPr/>
        <w:tc>
          <w:tcPr>
            <w:tcW w:w="11000" w:type="dxa"/>
            <w:vAlign w:val="center"/>
            <w:noWrap/>
          </w:tcPr>
          <w:p>
            <w:pPr/>
            <w:r>
              <w:rPr/>
              <w:t xml:space="preserve">Szökőkút , szobrok , kis halastó</w:t>
            </w:r>
          </w:p>
        </w:tc>
      </w:tr>
      <w:tr>
        <w:trPr/>
        <w:tc>
          <w:tcPr>
            <w:tcW w:w="11000" w:type="dxa"/>
            <w:vAlign w:val="center"/>
            <w:noWrap/>
          </w:tcPr>
          <w:p>
            <w:pPr/>
            <w:r>
              <w:rPr/>
              <w:t xml:space="preserve">én örvöshöz, vagy ügyet intézni jövök. Nehezemre esik a járás.</w:t>
            </w:r>
          </w:p>
        </w:tc>
      </w:tr>
      <w:tr>
        <w:trPr/>
        <w:tc>
          <w:tcPr>
            <w:tcW w:w="11000" w:type="dxa"/>
            <w:vAlign w:val="center"/>
            <w:noWrap/>
          </w:tcPr>
          <w:p>
            <w:pPr/>
            <w:r>
              <w:rPr/>
              <w:t xml:space="preserve">Futókört, illetve széles járdát, ahol a gyerekek tanulhatnak biciklizni.</w:t>
            </w:r>
          </w:p>
        </w:tc>
      </w:tr>
      <w:tr>
        <w:trPr/>
        <w:tc>
          <w:tcPr>
            <w:tcW w:w="11000" w:type="dxa"/>
            <w:vAlign w:val="center"/>
            <w:noWrap/>
          </w:tcPr>
          <w:p>
            <w:pPr/>
            <w:r>
              <w:rPr/>
              <w:t xml:space="preserve">Ha továbbra is lehetne használni az utat/parkolót az orvosi rendelő, iskola, gyógyszertármegközelítéséhez.</w:t>
            </w:r>
          </w:p>
        </w:tc>
      </w:tr>
      <w:tr>
        <w:trPr/>
        <w:tc>
          <w:tcPr>
            <w:tcW w:w="11000" w:type="dxa"/>
            <w:vAlign w:val="center"/>
            <w:noWrap/>
          </w:tcPr>
          <w:p>
            <w:pPr/>
            <w:r>
              <w:rPr/>
              <w:t xml:space="preserve">Napellenző vitorlák, közösségi virág ültetésre alkalmas szabad terület</w:t>
            </w:r>
          </w:p>
        </w:tc>
      </w:tr>
      <w:tr>
        <w:trPr/>
        <w:tc>
          <w:tcPr>
            <w:tcW w:w="11000" w:type="dxa"/>
            <w:vAlign w:val="center"/>
            <w:noWrap/>
          </w:tcPr>
          <w:p>
            <w:pPr/>
            <w:r>
              <w:rPr/>
              <w:t xml:space="preserve">szökőkút</w:t>
            </w:r>
          </w:p>
        </w:tc>
      </w:tr>
      <w:tr>
        <w:trPr/>
        <w:tc>
          <w:tcPr>
            <w:tcW w:w="11000" w:type="dxa"/>
            <w:vAlign w:val="center"/>
            <w:noWrap/>
          </w:tcPr>
          <w:p>
            <w:pPr/>
            <w:r>
              <w:rPr/>
              <w:t xml:space="preserve">kisebb méretű szobrokat szívesen látnék itt</w:t>
            </w:r>
          </w:p>
        </w:tc>
      </w:tr>
      <w:tr>
        <w:trPr/>
        <w:tc>
          <w:tcPr>
            <w:tcW w:w="11000" w:type="dxa"/>
            <w:vAlign w:val="center"/>
            <w:noWrap/>
          </w:tcPr>
          <w:p>
            <w:pPr/>
            <w:r>
              <w:rPr/>
              <w:t xml:space="preserve">A projekt utcájához közeli, vele párhuzamos Dunafokhoz átjárási útvonal kulturált kialakítása. Madáretetők, - itatók.</w:t>
            </w:r>
          </w:p>
        </w:tc>
      </w:tr>
      <w:tr>
        <w:trPr/>
        <w:tc>
          <w:tcPr>
            <w:tcW w:w="11000" w:type="dxa"/>
            <w:vAlign w:val="center"/>
            <w:noWrap/>
          </w:tcPr>
          <w:p>
            <w:pPr/>
            <w:r>
              <w:rPr/>
              <w:t xml:space="preserve">Nem az attrakció lenne fontos, inkább a nyugalmas, csendes sétáló terület,</w:t>
            </w:r>
          </w:p>
        </w:tc>
      </w:tr>
      <w:tr>
        <w:trPr/>
        <w:tc>
          <w:tcPr>
            <w:tcW w:w="11000" w:type="dxa"/>
            <w:vAlign w:val="center"/>
            <w:noWrap/>
          </w:tcPr>
          <w:p>
            <w:pPr/>
            <w:r>
              <w:rPr/>
              <w:t xml:space="preserve">Semmilyet sem.Ezek nem ide valók.Az ilyen "attrakciókat" csinálják Nagytétényben ahogy minden mást is.</w:t>
            </w:r>
          </w:p>
        </w:tc>
      </w:tr>
      <w:tr>
        <w:trPr/>
        <w:tc>
          <w:tcPr>
            <w:tcW w:w="11000" w:type="dxa"/>
            <w:vAlign w:val="center"/>
            <w:noWrap/>
          </w:tcPr>
          <w:p>
            <w:pPr/>
            <w:r>
              <w:rPr/>
              <w:t xml:space="preserve">sakkasztal</w:t>
            </w:r>
          </w:p>
        </w:tc>
      </w:tr>
      <w:tr>
        <w:trPr/>
        <w:tc>
          <w:tcPr>
            <w:tcW w:w="11000" w:type="dxa"/>
            <w:vAlign w:val="center"/>
            <w:noWrap/>
          </w:tcPr>
          <w:p>
            <w:pPr/>
            <w:r>
              <w:rPr/>
              <w:t xml:space="preserve">Parkok, zöldterületek, fák, padok, kávézó, nyugalom, madárcsicsergés.</w:t>
            </w:r>
          </w:p>
        </w:tc>
      </w:tr>
      <w:tr>
        <w:trPr/>
        <w:tc>
          <w:tcPr>
            <w:tcW w:w="11000" w:type="dxa"/>
            <w:vAlign w:val="center"/>
            <w:noWrap/>
          </w:tcPr>
          <w:p>
            <w:pPr/>
            <w:r>
              <w:rPr/>
              <w:t xml:space="preserve">Több nyári rendezvényt.</w:t>
            </w:r>
          </w:p>
        </w:tc>
      </w:tr>
      <w:tr>
        <w:trPr/>
        <w:tc>
          <w:tcPr>
            <w:tcW w:w="11000" w:type="dxa"/>
            <w:vAlign w:val="center"/>
            <w:noWrap/>
          </w:tcPr>
          <w:p>
            <w:pPr/>
            <w:r>
              <w:rPr/>
              <w:t xml:space="preserve">Japánkert stílusú részek.</w:t>
            </w:r>
          </w:p>
        </w:tc>
      </w:tr>
      <w:tr>
        <w:trPr/>
        <w:tc>
          <w:tcPr>
            <w:tcW w:w="11000" w:type="dxa"/>
            <w:vAlign w:val="center"/>
            <w:noWrap/>
          </w:tcPr>
          <w:p>
            <w:pPr/>
            <w:r>
              <w:rPr/>
              <w:t xml:space="preserve">Lugas ami be van futtatva futónövénnyel, ezáltal árnyékot adva. Ivókút, kerékpáros szervizpont.</w:t>
            </w:r>
          </w:p>
        </w:tc>
      </w:tr>
      <w:tr>
        <w:trPr/>
        <w:tc>
          <w:tcPr>
            <w:tcW w:w="11000" w:type="dxa"/>
            <w:vAlign w:val="center"/>
            <w:noWrap/>
          </w:tcPr>
          <w:p>
            <w:pPr/>
            <w:r>
              <w:rPr/>
              <w:t xml:space="preserve">közösségi játékra ösztönző elemek, (óriás sakk, teke, kugli...),  játékos kuckók, falmászás gyerekeknek</w:t>
            </w:r>
          </w:p>
        </w:tc>
      </w:tr>
      <w:tr>
        <w:trPr/>
        <w:tc>
          <w:tcPr>
            <w:tcW w:w="11000" w:type="dxa"/>
            <w:vAlign w:val="center"/>
            <w:noWrap/>
          </w:tcPr>
          <w:p>
            <w:pPr/>
            <w:r>
              <w:rPr/>
              <w:t xml:space="preserve">Sakkasztalok</w:t>
            </w:r>
          </w:p>
        </w:tc>
      </w:tr>
      <w:tr>
        <w:trPr/>
        <w:tc>
          <w:tcPr>
            <w:tcW w:w="11000" w:type="dxa"/>
            <w:vAlign w:val="center"/>
            <w:noWrap/>
          </w:tcPr>
          <w:p>
            <w:pPr/>
            <w:r>
              <w:rPr/>
              <w:t xml:space="preserve">szökőkút, napvitorlák</w:t>
            </w:r>
          </w:p>
        </w:tc>
      </w:tr>
      <w:tr>
        <w:trPr/>
        <w:tc>
          <w:tcPr>
            <w:tcW w:w="11000" w:type="dxa"/>
            <w:vAlign w:val="center"/>
            <w:noWrap/>
          </w:tcPr>
          <w:p>
            <w:pPr/>
            <w:r>
              <w:rPr/>
              <w:t xml:space="preserve">Parkoló</w:t>
            </w:r>
          </w:p>
        </w:tc>
      </w:tr>
      <w:tr>
        <w:trPr/>
        <w:tc>
          <w:tcPr>
            <w:tcW w:w="11000" w:type="dxa"/>
            <w:vAlign w:val="center"/>
            <w:noWrap/>
          </w:tcPr>
          <w:p>
            <w:pPr/>
            <w:r>
              <w:rPr/>
              <w:t xml:space="preserve">sok szemétgyűjtőt amelyeket naponta ürítenek. Attrakciós elemeket a vandálok miatt nem ajánlom. Azonban tisztántartott utcai öntisztítós, automata fertőtlenítő illemhelyeket igen! Max 70-80 méteres elérhetőséggel!</w:t>
            </w:r>
          </w:p>
        </w:tc>
      </w:tr>
      <w:tr>
        <w:trPr/>
        <w:tc>
          <w:tcPr>
            <w:tcW w:w="11000" w:type="dxa"/>
            <w:vAlign w:val="center"/>
            <w:noWrap/>
          </w:tcPr>
          <w:p>
            <w:pPr/>
            <w:r>
              <w:rPr/>
              <w:t xml:space="preserve">Szökőkút csobogó</w:t>
            </w:r>
          </w:p>
        </w:tc>
      </w:tr>
      <w:tr>
        <w:trPr/>
        <w:tc>
          <w:tcPr>
            <w:tcW w:w="11000" w:type="dxa"/>
            <w:vAlign w:val="center"/>
            <w:noWrap/>
          </w:tcPr>
          <w:p>
            <w:pPr/>
            <w:r>
              <w:rPr/>
              <w:t xml:space="preserve">Árnyék.</w:t>
            </w:r>
          </w:p>
        </w:tc>
      </w:tr>
      <w:tr>
        <w:trPr/>
        <w:tc>
          <w:tcPr>
            <w:tcW w:w="11000" w:type="dxa"/>
            <w:vAlign w:val="center"/>
            <w:noWrap/>
          </w:tcPr>
          <w:p>
            <w:pPr/>
            <w:r>
              <w:rPr/>
              <w:t xml:space="preserve">Szökőkutat (akár zenélőt)</w:t>
            </w:r>
          </w:p>
        </w:tc>
      </w:tr>
      <w:tr>
        <w:trPr/>
        <w:tc>
          <w:tcPr>
            <w:tcW w:w="11000" w:type="dxa"/>
            <w:vAlign w:val="center"/>
            <w:noWrap/>
          </w:tcPr>
          <w:p>
            <w:pPr/>
            <w:r>
              <w:rPr/>
              <w:t xml:space="preserve">Játszótér, sporteszközök, éttermek.</w:t>
            </w:r>
          </w:p>
        </w:tc>
      </w:tr>
      <w:tr>
        <w:trPr/>
        <w:tc>
          <w:tcPr>
            <w:tcW w:w="11000" w:type="dxa"/>
            <w:vAlign w:val="center"/>
            <w:noWrap/>
          </w:tcPr>
          <w:p>
            <w:pPr/>
            <w:r>
              <w:rPr/>
              <w:t xml:space="preserve">Lugas, ami alá be lehet ülni (beszélgetni, enni)</w:t>
            </w:r>
          </w:p>
        </w:tc>
      </w:tr>
    </w:tbl>
    <w:p/>
    <w:p>
      <w:pPr/>
      <w:r>
        <w:rPr>
          <w:sz w:val="24"/>
          <w:szCs w:val="24"/>
          <w:i w:val="1"/>
          <w:iCs w:val="1"/>
        </w:rPr>
        <w:t xml:space="preserve">További 123 válasz megtekintéséhez válassza az: "Excel CSV teljes" exportálási típust.</w:t>
      </w:r>
    </w:p>
    <w:p/>
    <w:p>
      <w:pPr>
        <w:jc w:val="right"/>
      </w:pPr>
      <w:r>
        <w:rPr>
          <w:sz w:val="24"/>
          <w:szCs w:val="24"/>
          <w:b w:val="1"/>
          <w:bCs w:val="1"/>
        </w:rPr>
        <w:t xml:space="preserve">148</w:t>
      </w:r>
      <w:r>
        <w:rPr>
          <w:sz w:val="24"/>
          <w:szCs w:val="24"/>
        </w:rPr>
        <w:t xml:space="preserve"> kitöltőtől összesen </w:t>
      </w:r>
      <w:r>
        <w:rPr>
          <w:sz w:val="24"/>
          <w:szCs w:val="24"/>
          <w:b w:val="1"/>
          <w:bCs w:val="1"/>
        </w:rPr>
        <w:t xml:space="preserve">148</w:t>
      </w:r>
      <w:r>
        <w:rPr>
          <w:sz w:val="24"/>
          <w:szCs w:val="24"/>
        </w:rPr>
        <w:t xml:space="preserve"> válasz</w:t>
      </w:r>
    </w:p>
    <w:p>
      <w:pPr>
        <w:sectPr>
          <w:pgSz w:orient="portrait" w:w="11905.511811023622" w:h="16837.79527559055"/>
          <w:pgMar w:top="600" w:right="600" w:bottom="600" w:left="600" w:header="720" w:footer="720" w:gutter="0"/>
          <w:cols w:num="1" w:space="720"/>
        </w:sectPr>
      </w:pPr>
    </w:p>
    <w:p>
      <w:pPr>
        <w:pStyle w:val="Heading1"/>
      </w:pPr>
      <w:bookmarkStart w:id="16" w:name="_Toc16"/>
      <w:r>
        <w:t>A Városház tér 13. szám alatti Fáber-villában (Mária Terézia utca - Városháza előtti utca sarkán álló, jelenleg nem használt épület) helyet kap két közösségi tér: egy 45 m2-es az alagsorban és egy 47 m2-es a földszinten, valamint nyilvános illemhelyiséget is kialakítunk.</w:t>
      </w:r>
      <w:bookmarkEnd w:id="16"/>
    </w:p>
    <w:p/>
    <w:p>
      <w:pPr>
        <w:jc w:val="right"/>
      </w:pPr>
      <w:r>
        <w:rPr>
          <w:sz w:val="24"/>
          <w:szCs w:val="24"/>
          <w:b w:val="1"/>
          <w:bCs w:val="1"/>
        </w:rPr>
        <w:t xml:space="preserve">0</w:t>
      </w:r>
      <w:r>
        <w:rPr>
          <w:sz w:val="24"/>
          <w:szCs w:val="24"/>
        </w:rPr>
        <w:t xml:space="preserve"> kitöltőtől összesen </w:t>
      </w:r>
      <w:r>
        <w:rPr>
          <w:sz w:val="24"/>
          <w:szCs w:val="24"/>
          <w:b w:val="1"/>
          <w:bCs w:val="1"/>
        </w:rPr>
        <w:t xml:space="preserve">0</w:t>
      </w:r>
      <w:r>
        <w:rPr>
          <w:sz w:val="24"/>
          <w:szCs w:val="24"/>
        </w:rPr>
        <w:t xml:space="preserve"> válasz</w:t>
      </w:r>
    </w:p>
    <w:p>
      <w:pPr>
        <w:sectPr>
          <w:pgSz w:orient="portrait" w:w="11905.511811023622" w:h="16837.79527559055"/>
          <w:pgMar w:top="600" w:right="600" w:bottom="600" w:left="600" w:header="720" w:footer="720" w:gutter="0"/>
          <w:cols w:num="1" w:space="720"/>
        </w:sectPr>
      </w:pPr>
    </w:p>
    <w:p>
      <w:pPr>
        <w:pStyle w:val="Heading1"/>
      </w:pPr>
      <w:bookmarkStart w:id="17" w:name="_Toc17"/>
      <w:r>
        <w:t>Kérjük, értékelje számokkal, milyen funkciókat látna szívesen a Fáber-villa közösségi terében?</w:t>
      </w:r>
      <w:bookmarkEnd w:id="17"/>
    </w:p>
    <w:tbl>
      <w:tblGrid>
        <w:gridCol w:w="9000" w:type="dxa"/>
        <w:gridCol w:w="900" w:type="dxa"/>
        <w:gridCol w:w="900" w:type="dxa"/>
      </w:tblGrid>
      <w:tblPr>
        <w:tblStyle w:val="StatTable"/>
      </w:tblPr>
      <w:tr>
        <w:trPr/>
        <w:tc>
          <w:tcPr>
            <w:tcW w:w="9000" w:type="dxa"/>
            <w:vAlign w:val="center"/>
            <w:noWrap/>
          </w:tcPr>
          <w:p>
            <w:pPr/>
            <w:r>
              <w:rPr>
                <w:sz w:val="24"/>
                <w:szCs w:val="24"/>
                <w:b w:val="1"/>
                <w:bCs w:val="1"/>
              </w:rPr>
              <w:t xml:space="preserve">Válasz</w:t>
            </w:r>
          </w:p>
        </w:tc>
        <w:tc>
          <w:tcPr>
            <w:tcW w:w="900" w:type="dxa"/>
            <w:vAlign w:val="center"/>
            <w:noWrap/>
          </w:tcPr>
          <w:p>
            <w:pPr>
              <w:jc w:val="center"/>
            </w:pPr>
            <w:r>
              <w:rPr>
                <w:sz w:val="24"/>
                <w:szCs w:val="24"/>
                <w:b w:val="1"/>
                <w:bCs w:val="1"/>
              </w:rPr>
              <w:t xml:space="preserve">db</w:t>
            </w:r>
          </w:p>
        </w:tc>
        <w:tc>
          <w:tcPr>
            <w:tcW w:w="900" w:type="dxa"/>
            <w:vAlign w:val="center"/>
            <w:noWrap/>
          </w:tcPr>
          <w:p>
            <w:pPr>
              <w:jc w:val="center"/>
            </w:pPr>
            <w:r>
              <w:rPr>
                <w:sz w:val="24"/>
                <w:szCs w:val="24"/>
                <w:b w:val="1"/>
                <w:bCs w:val="1"/>
              </w:rPr>
              <w:t xml:space="preserve">%</w:t>
            </w:r>
          </w:p>
        </w:tc>
      </w:tr>
      <w:tr>
        <w:trPr/>
        <w:tc>
          <w:tcPr>
            <w:tcW w:w="9000" w:type="dxa"/>
            <w:vAlign w:val="center"/>
            <w:gridSpan w:val="3"/>
            <w:noWrap/>
          </w:tcPr>
          <w:p>
            <w:pPr/>
            <w:r>
              <w:rPr>
                <w:sz w:val="24"/>
                <w:szCs w:val="24"/>
              </w:rPr>
              <w:t xml:space="preserve">Kiállítások, előadások</w:t>
            </w:r>
          </w:p>
        </w:tc>
      </w:tr>
      <w:tr>
        <w:trPr/>
        <w:tc>
          <w:tcPr>
            <w:tcW w:w="9000" w:type="dxa"/>
            <w:vAlign w:val="center"/>
            <w:noWrap/>
          </w:tcPr>
          <w:p>
            <w:pPr/>
            <w:r>
              <w:rPr>
                <w:sz w:val="20"/>
                <w:szCs w:val="20"/>
              </w:rPr>
              <w:t xml:space="preserve">      1</w:t>
            </w:r>
          </w:p>
        </w:tc>
        <w:tc>
          <w:tcPr>
            <w:tcW w:w="900" w:type="dxa"/>
            <w:vAlign w:val="center"/>
            <w:noWrap/>
          </w:tcPr>
          <w:p>
            <w:pPr>
              <w:jc w:val="center"/>
            </w:pPr>
            <w:r>
              <w:rPr>
                <w:sz w:val="20"/>
                <w:szCs w:val="20"/>
              </w:rPr>
              <w:t xml:space="preserve">17</w:t>
            </w:r>
          </w:p>
        </w:tc>
        <w:tc>
          <w:tcPr>
            <w:tcW w:w="900" w:type="dxa"/>
            <w:vAlign w:val="center"/>
            <w:noWrap/>
          </w:tcPr>
          <w:p>
            <w:pPr>
              <w:jc w:val="center"/>
            </w:pPr>
            <w:r>
              <w:rPr>
                <w:sz w:val="20"/>
                <w:szCs w:val="20"/>
              </w:rPr>
              <w:t xml:space="preserve">4.1%</w:t>
            </w:r>
          </w:p>
        </w:tc>
      </w:tr>
      <w:tr>
        <w:trPr/>
        <w:tc>
          <w:tcPr>
            <w:tcW w:w="9000" w:type="dxa"/>
            <w:vAlign w:val="center"/>
            <w:noWrap/>
          </w:tcPr>
          <w:p>
            <w:pPr/>
            <w:r>
              <w:rPr>
                <w:sz w:val="20"/>
                <w:szCs w:val="20"/>
              </w:rPr>
              <w:t xml:space="preserve">      2</w:t>
            </w:r>
          </w:p>
        </w:tc>
        <w:tc>
          <w:tcPr>
            <w:tcW w:w="900" w:type="dxa"/>
            <w:vAlign w:val="center"/>
            <w:noWrap/>
          </w:tcPr>
          <w:p>
            <w:pPr>
              <w:jc w:val="center"/>
            </w:pPr>
            <w:r>
              <w:rPr>
                <w:sz w:val="20"/>
                <w:szCs w:val="20"/>
              </w:rPr>
              <w:t xml:space="preserve">22</w:t>
            </w:r>
          </w:p>
        </w:tc>
        <w:tc>
          <w:tcPr>
            <w:tcW w:w="900" w:type="dxa"/>
            <w:vAlign w:val="center"/>
            <w:noWrap/>
          </w:tcPr>
          <w:p>
            <w:pPr>
              <w:jc w:val="center"/>
            </w:pPr>
            <w:r>
              <w:rPr>
                <w:sz w:val="20"/>
                <w:szCs w:val="20"/>
              </w:rPr>
              <w:t xml:space="preserve">5.3%</w:t>
            </w:r>
          </w:p>
        </w:tc>
      </w:tr>
      <w:tr>
        <w:trPr/>
        <w:tc>
          <w:tcPr>
            <w:tcW w:w="9000" w:type="dxa"/>
            <w:vAlign w:val="center"/>
            <w:noWrap/>
          </w:tcPr>
          <w:p>
            <w:pPr/>
            <w:r>
              <w:rPr>
                <w:sz w:val="20"/>
                <w:szCs w:val="20"/>
              </w:rPr>
              <w:t xml:space="preserve">      3</w:t>
            </w:r>
          </w:p>
        </w:tc>
        <w:tc>
          <w:tcPr>
            <w:tcW w:w="900" w:type="dxa"/>
            <w:vAlign w:val="center"/>
            <w:noWrap/>
          </w:tcPr>
          <w:p>
            <w:pPr>
              <w:jc w:val="center"/>
            </w:pPr>
            <w:r>
              <w:rPr>
                <w:sz w:val="20"/>
                <w:szCs w:val="20"/>
              </w:rPr>
              <w:t xml:space="preserve">70</w:t>
            </w:r>
          </w:p>
        </w:tc>
        <w:tc>
          <w:tcPr>
            <w:tcW w:w="900" w:type="dxa"/>
            <w:vAlign w:val="center"/>
            <w:noWrap/>
          </w:tcPr>
          <w:p>
            <w:pPr>
              <w:jc w:val="center"/>
            </w:pPr>
            <w:r>
              <w:rPr>
                <w:sz w:val="20"/>
                <w:szCs w:val="20"/>
              </w:rPr>
              <w:t xml:space="preserve">17%</w:t>
            </w:r>
          </w:p>
        </w:tc>
      </w:tr>
      <w:tr>
        <w:trPr/>
        <w:tc>
          <w:tcPr>
            <w:tcW w:w="9000" w:type="dxa"/>
            <w:vAlign w:val="center"/>
            <w:noWrap/>
          </w:tcPr>
          <w:p>
            <w:pPr/>
            <w:r>
              <w:rPr>
                <w:sz w:val="20"/>
                <w:szCs w:val="20"/>
              </w:rPr>
              <w:t xml:space="preserve">      4</w:t>
            </w:r>
          </w:p>
        </w:tc>
        <w:tc>
          <w:tcPr>
            <w:tcW w:w="900" w:type="dxa"/>
            <w:vAlign w:val="center"/>
            <w:noWrap/>
          </w:tcPr>
          <w:p>
            <w:pPr>
              <w:jc w:val="center"/>
            </w:pPr>
            <w:r>
              <w:rPr>
                <w:sz w:val="20"/>
                <w:szCs w:val="20"/>
              </w:rPr>
              <w:t xml:space="preserve">77</w:t>
            </w:r>
          </w:p>
        </w:tc>
        <w:tc>
          <w:tcPr>
            <w:tcW w:w="900" w:type="dxa"/>
            <w:vAlign w:val="center"/>
            <w:noWrap/>
          </w:tcPr>
          <w:p>
            <w:pPr>
              <w:jc w:val="center"/>
            </w:pPr>
            <w:r>
              <w:rPr>
                <w:sz w:val="20"/>
                <w:szCs w:val="20"/>
              </w:rPr>
              <w:t xml:space="preserve">18.7%</w:t>
            </w:r>
          </w:p>
        </w:tc>
      </w:tr>
      <w:tr>
        <w:trPr/>
        <w:tc>
          <w:tcPr>
            <w:tcW w:w="9000" w:type="dxa"/>
            <w:vAlign w:val="center"/>
            <w:noWrap/>
          </w:tcPr>
          <w:p>
            <w:pPr/>
            <w:r>
              <w:rPr>
                <w:sz w:val="20"/>
                <w:szCs w:val="20"/>
              </w:rPr>
              <w:t xml:space="preserve">      5</w:t>
            </w:r>
          </w:p>
        </w:tc>
        <w:tc>
          <w:tcPr>
            <w:tcW w:w="900" w:type="dxa"/>
            <w:vAlign w:val="center"/>
            <w:noWrap/>
          </w:tcPr>
          <w:p>
            <w:pPr>
              <w:jc w:val="center"/>
            </w:pPr>
            <w:r>
              <w:rPr>
                <w:sz w:val="20"/>
                <w:szCs w:val="20"/>
              </w:rPr>
              <w:t xml:space="preserve">226</w:t>
            </w:r>
          </w:p>
        </w:tc>
        <w:tc>
          <w:tcPr>
            <w:tcW w:w="900" w:type="dxa"/>
            <w:vAlign w:val="center"/>
            <w:noWrap/>
          </w:tcPr>
          <w:p>
            <w:pPr>
              <w:jc w:val="center"/>
            </w:pPr>
            <w:r>
              <w:rPr>
                <w:sz w:val="20"/>
                <w:szCs w:val="20"/>
              </w:rPr>
              <w:t xml:space="preserve">54.9%</w:t>
            </w:r>
          </w:p>
        </w:tc>
      </w:tr>
      <w:tr>
        <w:trPr/>
        <w:tc>
          <w:tcPr>
            <w:tcW w:w="9000" w:type="dxa"/>
            <w:vAlign w:val="center"/>
            <w:noWrap/>
          </w:tcPr>
          <w:p/>
        </w:tc>
        <w:tc>
          <w:tcPr>
            <w:tcW w:w="900" w:type="dxa"/>
            <w:vAlign w:val="center"/>
            <w:gridSpan w:val="2"/>
            <w:noWrap/>
          </w:tcPr>
          <w:p>
            <w:pPr>
              <w:jc w:val="center"/>
            </w:pPr>
            <w:r>
              <w:rPr>
                <w:b w:val="1"/>
                <w:bCs w:val="1"/>
              </w:rPr>
              <w:t xml:space="preserve">412</w:t>
            </w:r>
          </w:p>
        </w:tc>
      </w:tr>
      <w:tr>
        <w:trPr/>
        <w:tc>
          <w:tcPr>
            <w:tcW w:w="9000" w:type="dxa"/>
            <w:vAlign w:val="center"/>
            <w:gridSpan w:val="3"/>
            <w:noWrap/>
          </w:tcPr>
          <w:p>
            <w:pPr/>
            <w:r>
              <w:rPr>
                <w:sz w:val="24"/>
                <w:szCs w:val="24"/>
              </w:rPr>
              <w:t xml:space="preserve">Gyermekprogramok</w:t>
            </w:r>
          </w:p>
        </w:tc>
      </w:tr>
      <w:tr>
        <w:trPr/>
        <w:tc>
          <w:tcPr>
            <w:tcW w:w="9000" w:type="dxa"/>
            <w:vAlign w:val="center"/>
            <w:noWrap/>
          </w:tcPr>
          <w:p>
            <w:pPr/>
            <w:r>
              <w:rPr>
                <w:sz w:val="20"/>
                <w:szCs w:val="20"/>
              </w:rPr>
              <w:t xml:space="preserve">      1</w:t>
            </w:r>
          </w:p>
        </w:tc>
        <w:tc>
          <w:tcPr>
            <w:tcW w:w="900" w:type="dxa"/>
            <w:vAlign w:val="center"/>
            <w:noWrap/>
          </w:tcPr>
          <w:p>
            <w:pPr>
              <w:jc w:val="center"/>
            </w:pPr>
            <w:r>
              <w:rPr>
                <w:sz w:val="20"/>
                <w:szCs w:val="20"/>
              </w:rPr>
              <w:t xml:space="preserve">35</w:t>
            </w:r>
          </w:p>
        </w:tc>
        <w:tc>
          <w:tcPr>
            <w:tcW w:w="900" w:type="dxa"/>
            <w:vAlign w:val="center"/>
            <w:noWrap/>
          </w:tcPr>
          <w:p>
            <w:pPr>
              <w:jc w:val="center"/>
            </w:pPr>
            <w:r>
              <w:rPr>
                <w:sz w:val="20"/>
                <w:szCs w:val="20"/>
              </w:rPr>
              <w:t xml:space="preserve">8.8%</w:t>
            </w:r>
          </w:p>
        </w:tc>
      </w:tr>
      <w:tr>
        <w:trPr/>
        <w:tc>
          <w:tcPr>
            <w:tcW w:w="9000" w:type="dxa"/>
            <w:vAlign w:val="center"/>
            <w:noWrap/>
          </w:tcPr>
          <w:p>
            <w:pPr/>
            <w:r>
              <w:rPr>
                <w:sz w:val="20"/>
                <w:szCs w:val="20"/>
              </w:rPr>
              <w:t xml:space="preserve">      2</w:t>
            </w:r>
          </w:p>
        </w:tc>
        <w:tc>
          <w:tcPr>
            <w:tcW w:w="900" w:type="dxa"/>
            <w:vAlign w:val="center"/>
            <w:noWrap/>
          </w:tcPr>
          <w:p>
            <w:pPr>
              <w:jc w:val="center"/>
            </w:pPr>
            <w:r>
              <w:rPr>
                <w:sz w:val="20"/>
                <w:szCs w:val="20"/>
              </w:rPr>
              <w:t xml:space="preserve">26</w:t>
            </w:r>
          </w:p>
        </w:tc>
        <w:tc>
          <w:tcPr>
            <w:tcW w:w="900" w:type="dxa"/>
            <w:vAlign w:val="center"/>
            <w:noWrap/>
          </w:tcPr>
          <w:p>
            <w:pPr>
              <w:jc w:val="center"/>
            </w:pPr>
            <w:r>
              <w:rPr>
                <w:sz w:val="20"/>
                <w:szCs w:val="20"/>
              </w:rPr>
              <w:t xml:space="preserve">6.5%</w:t>
            </w:r>
          </w:p>
        </w:tc>
      </w:tr>
      <w:tr>
        <w:trPr/>
        <w:tc>
          <w:tcPr>
            <w:tcW w:w="9000" w:type="dxa"/>
            <w:vAlign w:val="center"/>
            <w:noWrap/>
          </w:tcPr>
          <w:p>
            <w:pPr/>
            <w:r>
              <w:rPr>
                <w:sz w:val="20"/>
                <w:szCs w:val="20"/>
              </w:rPr>
              <w:t xml:space="preserve">      3</w:t>
            </w:r>
          </w:p>
        </w:tc>
        <w:tc>
          <w:tcPr>
            <w:tcW w:w="900" w:type="dxa"/>
            <w:vAlign w:val="center"/>
            <w:noWrap/>
          </w:tcPr>
          <w:p>
            <w:pPr>
              <w:jc w:val="center"/>
            </w:pPr>
            <w:r>
              <w:rPr>
                <w:sz w:val="20"/>
                <w:szCs w:val="20"/>
              </w:rPr>
              <w:t xml:space="preserve">88</w:t>
            </w:r>
          </w:p>
        </w:tc>
        <w:tc>
          <w:tcPr>
            <w:tcW w:w="900" w:type="dxa"/>
            <w:vAlign w:val="center"/>
            <w:noWrap/>
          </w:tcPr>
          <w:p>
            <w:pPr>
              <w:jc w:val="center"/>
            </w:pPr>
            <w:r>
              <w:rPr>
                <w:sz w:val="20"/>
                <w:szCs w:val="20"/>
              </w:rPr>
              <w:t xml:space="preserve">22%</w:t>
            </w:r>
          </w:p>
        </w:tc>
      </w:tr>
      <w:tr>
        <w:trPr/>
        <w:tc>
          <w:tcPr>
            <w:tcW w:w="9000" w:type="dxa"/>
            <w:vAlign w:val="center"/>
            <w:noWrap/>
          </w:tcPr>
          <w:p>
            <w:pPr/>
            <w:r>
              <w:rPr>
                <w:sz w:val="20"/>
                <w:szCs w:val="20"/>
              </w:rPr>
              <w:t xml:space="preserve">      4</w:t>
            </w:r>
          </w:p>
        </w:tc>
        <w:tc>
          <w:tcPr>
            <w:tcW w:w="900" w:type="dxa"/>
            <w:vAlign w:val="center"/>
            <w:noWrap/>
          </w:tcPr>
          <w:p>
            <w:pPr>
              <w:jc w:val="center"/>
            </w:pPr>
            <w:r>
              <w:rPr>
                <w:sz w:val="20"/>
                <w:szCs w:val="20"/>
              </w:rPr>
              <w:t xml:space="preserve">64</w:t>
            </w:r>
          </w:p>
        </w:tc>
        <w:tc>
          <w:tcPr>
            <w:tcW w:w="900" w:type="dxa"/>
            <w:vAlign w:val="center"/>
            <w:noWrap/>
          </w:tcPr>
          <w:p>
            <w:pPr>
              <w:jc w:val="center"/>
            </w:pPr>
            <w:r>
              <w:rPr>
                <w:sz w:val="20"/>
                <w:szCs w:val="20"/>
              </w:rPr>
              <w:t xml:space="preserve">16%</w:t>
            </w:r>
          </w:p>
        </w:tc>
      </w:tr>
      <w:tr>
        <w:trPr/>
        <w:tc>
          <w:tcPr>
            <w:tcW w:w="9000" w:type="dxa"/>
            <w:vAlign w:val="center"/>
            <w:noWrap/>
          </w:tcPr>
          <w:p>
            <w:pPr/>
            <w:r>
              <w:rPr>
                <w:sz w:val="20"/>
                <w:szCs w:val="20"/>
              </w:rPr>
              <w:t xml:space="preserve">      5</w:t>
            </w:r>
          </w:p>
        </w:tc>
        <w:tc>
          <w:tcPr>
            <w:tcW w:w="900" w:type="dxa"/>
            <w:vAlign w:val="center"/>
            <w:noWrap/>
          </w:tcPr>
          <w:p>
            <w:pPr>
              <w:jc w:val="center"/>
            </w:pPr>
            <w:r>
              <w:rPr>
                <w:sz w:val="20"/>
                <w:szCs w:val="20"/>
              </w:rPr>
              <w:t xml:space="preserve">187</w:t>
            </w:r>
          </w:p>
        </w:tc>
        <w:tc>
          <w:tcPr>
            <w:tcW w:w="900" w:type="dxa"/>
            <w:vAlign w:val="center"/>
            <w:noWrap/>
          </w:tcPr>
          <w:p>
            <w:pPr>
              <w:jc w:val="center"/>
            </w:pPr>
            <w:r>
              <w:rPr>
                <w:sz w:val="20"/>
                <w:szCs w:val="20"/>
              </w:rPr>
              <w:t xml:space="preserve">46.8%</w:t>
            </w:r>
          </w:p>
        </w:tc>
      </w:tr>
      <w:tr>
        <w:trPr/>
        <w:tc>
          <w:tcPr>
            <w:tcW w:w="9000" w:type="dxa"/>
            <w:vAlign w:val="center"/>
            <w:noWrap/>
          </w:tcPr>
          <w:p/>
        </w:tc>
        <w:tc>
          <w:tcPr>
            <w:tcW w:w="900" w:type="dxa"/>
            <w:vAlign w:val="center"/>
            <w:gridSpan w:val="2"/>
            <w:noWrap/>
          </w:tcPr>
          <w:p>
            <w:pPr>
              <w:jc w:val="center"/>
            </w:pPr>
            <w:r>
              <w:rPr>
                <w:b w:val="1"/>
                <w:bCs w:val="1"/>
              </w:rPr>
              <w:t xml:space="preserve">400</w:t>
            </w:r>
          </w:p>
        </w:tc>
      </w:tr>
      <w:tr>
        <w:trPr/>
        <w:tc>
          <w:tcPr>
            <w:tcW w:w="9000" w:type="dxa"/>
            <w:vAlign w:val="center"/>
            <w:gridSpan w:val="3"/>
            <w:noWrap/>
          </w:tcPr>
          <w:p>
            <w:pPr/>
            <w:r>
              <w:rPr>
                <w:sz w:val="24"/>
                <w:szCs w:val="24"/>
              </w:rPr>
              <w:t xml:space="preserve">Közösségi találkozók</w:t>
            </w:r>
          </w:p>
        </w:tc>
      </w:tr>
      <w:tr>
        <w:trPr/>
        <w:tc>
          <w:tcPr>
            <w:tcW w:w="9000" w:type="dxa"/>
            <w:vAlign w:val="center"/>
            <w:noWrap/>
          </w:tcPr>
          <w:p>
            <w:pPr/>
            <w:r>
              <w:rPr>
                <w:sz w:val="20"/>
                <w:szCs w:val="20"/>
              </w:rPr>
              <w:t xml:space="preserve">      1</w:t>
            </w:r>
          </w:p>
        </w:tc>
        <w:tc>
          <w:tcPr>
            <w:tcW w:w="900" w:type="dxa"/>
            <w:vAlign w:val="center"/>
            <w:noWrap/>
          </w:tcPr>
          <w:p>
            <w:pPr>
              <w:jc w:val="center"/>
            </w:pPr>
            <w:r>
              <w:rPr>
                <w:sz w:val="20"/>
                <w:szCs w:val="20"/>
              </w:rPr>
              <w:t xml:space="preserve">19</w:t>
            </w:r>
          </w:p>
        </w:tc>
        <w:tc>
          <w:tcPr>
            <w:tcW w:w="900" w:type="dxa"/>
            <w:vAlign w:val="center"/>
            <w:noWrap/>
          </w:tcPr>
          <w:p>
            <w:pPr>
              <w:jc w:val="center"/>
            </w:pPr>
            <w:r>
              <w:rPr>
                <w:sz w:val="20"/>
                <w:szCs w:val="20"/>
              </w:rPr>
              <w:t xml:space="preserve">4.7%</w:t>
            </w:r>
          </w:p>
        </w:tc>
      </w:tr>
      <w:tr>
        <w:trPr/>
        <w:tc>
          <w:tcPr>
            <w:tcW w:w="9000" w:type="dxa"/>
            <w:vAlign w:val="center"/>
            <w:noWrap/>
          </w:tcPr>
          <w:p>
            <w:pPr/>
            <w:r>
              <w:rPr>
                <w:sz w:val="20"/>
                <w:szCs w:val="20"/>
              </w:rPr>
              <w:t xml:space="preserve">      2</w:t>
            </w:r>
          </w:p>
        </w:tc>
        <w:tc>
          <w:tcPr>
            <w:tcW w:w="900" w:type="dxa"/>
            <w:vAlign w:val="center"/>
            <w:noWrap/>
          </w:tcPr>
          <w:p>
            <w:pPr>
              <w:jc w:val="center"/>
            </w:pPr>
            <w:r>
              <w:rPr>
                <w:sz w:val="20"/>
                <w:szCs w:val="20"/>
              </w:rPr>
              <w:t xml:space="preserve">9</w:t>
            </w:r>
          </w:p>
        </w:tc>
        <w:tc>
          <w:tcPr>
            <w:tcW w:w="900" w:type="dxa"/>
            <w:vAlign w:val="center"/>
            <w:noWrap/>
          </w:tcPr>
          <w:p>
            <w:pPr>
              <w:jc w:val="center"/>
            </w:pPr>
            <w:r>
              <w:rPr>
                <w:sz w:val="20"/>
                <w:szCs w:val="20"/>
              </w:rPr>
              <w:t xml:space="preserve">2.2%</w:t>
            </w:r>
          </w:p>
        </w:tc>
      </w:tr>
      <w:tr>
        <w:trPr/>
        <w:tc>
          <w:tcPr>
            <w:tcW w:w="9000" w:type="dxa"/>
            <w:vAlign w:val="center"/>
            <w:noWrap/>
          </w:tcPr>
          <w:p>
            <w:pPr/>
            <w:r>
              <w:rPr>
                <w:sz w:val="20"/>
                <w:szCs w:val="20"/>
              </w:rPr>
              <w:t xml:space="preserve">      3</w:t>
            </w:r>
          </w:p>
        </w:tc>
        <w:tc>
          <w:tcPr>
            <w:tcW w:w="900" w:type="dxa"/>
            <w:vAlign w:val="center"/>
            <w:noWrap/>
          </w:tcPr>
          <w:p>
            <w:pPr>
              <w:jc w:val="center"/>
            </w:pPr>
            <w:r>
              <w:rPr>
                <w:sz w:val="20"/>
                <w:szCs w:val="20"/>
              </w:rPr>
              <w:t xml:space="preserve">83</w:t>
            </w:r>
          </w:p>
        </w:tc>
        <w:tc>
          <w:tcPr>
            <w:tcW w:w="900" w:type="dxa"/>
            <w:vAlign w:val="center"/>
            <w:noWrap/>
          </w:tcPr>
          <w:p>
            <w:pPr>
              <w:jc w:val="center"/>
            </w:pPr>
            <w:r>
              <w:rPr>
                <w:sz w:val="20"/>
                <w:szCs w:val="20"/>
              </w:rPr>
              <w:t xml:space="preserve">20.6%</w:t>
            </w:r>
          </w:p>
        </w:tc>
      </w:tr>
      <w:tr>
        <w:trPr/>
        <w:tc>
          <w:tcPr>
            <w:tcW w:w="9000" w:type="dxa"/>
            <w:vAlign w:val="center"/>
            <w:noWrap/>
          </w:tcPr>
          <w:p>
            <w:pPr/>
            <w:r>
              <w:rPr>
                <w:sz w:val="20"/>
                <w:szCs w:val="20"/>
              </w:rPr>
              <w:t xml:space="preserve">      4</w:t>
            </w:r>
          </w:p>
        </w:tc>
        <w:tc>
          <w:tcPr>
            <w:tcW w:w="900" w:type="dxa"/>
            <w:vAlign w:val="center"/>
            <w:noWrap/>
          </w:tcPr>
          <w:p>
            <w:pPr>
              <w:jc w:val="center"/>
            </w:pPr>
            <w:r>
              <w:rPr>
                <w:sz w:val="20"/>
                <w:szCs w:val="20"/>
              </w:rPr>
              <w:t xml:space="preserve">87</w:t>
            </w:r>
          </w:p>
        </w:tc>
        <w:tc>
          <w:tcPr>
            <w:tcW w:w="900" w:type="dxa"/>
            <w:vAlign w:val="center"/>
            <w:noWrap/>
          </w:tcPr>
          <w:p>
            <w:pPr>
              <w:jc w:val="center"/>
            </w:pPr>
            <w:r>
              <w:rPr>
                <w:sz w:val="20"/>
                <w:szCs w:val="20"/>
              </w:rPr>
              <w:t xml:space="preserve">21.6%</w:t>
            </w:r>
          </w:p>
        </w:tc>
      </w:tr>
      <w:tr>
        <w:trPr/>
        <w:tc>
          <w:tcPr>
            <w:tcW w:w="9000" w:type="dxa"/>
            <w:vAlign w:val="center"/>
            <w:noWrap/>
          </w:tcPr>
          <w:p>
            <w:pPr/>
            <w:r>
              <w:rPr>
                <w:sz w:val="20"/>
                <w:szCs w:val="20"/>
              </w:rPr>
              <w:t xml:space="preserve">      5</w:t>
            </w:r>
          </w:p>
        </w:tc>
        <w:tc>
          <w:tcPr>
            <w:tcW w:w="900" w:type="dxa"/>
            <w:vAlign w:val="center"/>
            <w:noWrap/>
          </w:tcPr>
          <w:p>
            <w:pPr>
              <w:jc w:val="center"/>
            </w:pPr>
            <w:r>
              <w:rPr>
                <w:sz w:val="20"/>
                <w:szCs w:val="20"/>
              </w:rPr>
              <w:t xml:space="preserve">205</w:t>
            </w:r>
          </w:p>
        </w:tc>
        <w:tc>
          <w:tcPr>
            <w:tcW w:w="900" w:type="dxa"/>
            <w:vAlign w:val="center"/>
            <w:noWrap/>
          </w:tcPr>
          <w:p>
            <w:pPr>
              <w:jc w:val="center"/>
            </w:pPr>
            <w:r>
              <w:rPr>
                <w:sz w:val="20"/>
                <w:szCs w:val="20"/>
              </w:rPr>
              <w:t xml:space="preserve">50.9%</w:t>
            </w:r>
          </w:p>
        </w:tc>
      </w:tr>
      <w:tr>
        <w:trPr/>
        <w:tc>
          <w:tcPr>
            <w:tcW w:w="9000" w:type="dxa"/>
            <w:vAlign w:val="center"/>
            <w:noWrap/>
          </w:tcPr>
          <w:p/>
        </w:tc>
        <w:tc>
          <w:tcPr>
            <w:tcW w:w="900" w:type="dxa"/>
            <w:vAlign w:val="center"/>
            <w:gridSpan w:val="2"/>
            <w:noWrap/>
          </w:tcPr>
          <w:p>
            <w:pPr>
              <w:jc w:val="center"/>
            </w:pPr>
            <w:r>
              <w:rPr>
                <w:b w:val="1"/>
                <w:bCs w:val="1"/>
              </w:rPr>
              <w:t xml:space="preserve">403</w:t>
            </w:r>
          </w:p>
        </w:tc>
      </w:tr>
      <w:tr>
        <w:trPr/>
        <w:tc>
          <w:tcPr>
            <w:tcW w:w="9000" w:type="dxa"/>
            <w:vAlign w:val="center"/>
            <w:gridSpan w:val="3"/>
            <w:noWrap/>
          </w:tcPr>
          <w:p>
            <w:pPr/>
            <w:r>
              <w:rPr>
                <w:sz w:val="24"/>
                <w:szCs w:val="24"/>
              </w:rPr>
              <w:t xml:space="preserve">Turisztikai és helyi információs pont</w:t>
            </w:r>
          </w:p>
        </w:tc>
      </w:tr>
      <w:tr>
        <w:trPr/>
        <w:tc>
          <w:tcPr>
            <w:tcW w:w="9000" w:type="dxa"/>
            <w:vAlign w:val="center"/>
            <w:noWrap/>
          </w:tcPr>
          <w:p>
            <w:pPr/>
            <w:r>
              <w:rPr>
                <w:sz w:val="20"/>
                <w:szCs w:val="20"/>
              </w:rPr>
              <w:t xml:space="preserve">      1</w:t>
            </w:r>
          </w:p>
        </w:tc>
        <w:tc>
          <w:tcPr>
            <w:tcW w:w="900" w:type="dxa"/>
            <w:vAlign w:val="center"/>
            <w:noWrap/>
          </w:tcPr>
          <w:p>
            <w:pPr>
              <w:jc w:val="center"/>
            </w:pPr>
            <w:r>
              <w:rPr>
                <w:sz w:val="20"/>
                <w:szCs w:val="20"/>
              </w:rPr>
              <w:t xml:space="preserve">67</w:t>
            </w:r>
          </w:p>
        </w:tc>
        <w:tc>
          <w:tcPr>
            <w:tcW w:w="900" w:type="dxa"/>
            <w:vAlign w:val="center"/>
            <w:noWrap/>
          </w:tcPr>
          <w:p>
            <w:pPr>
              <w:jc w:val="center"/>
            </w:pPr>
            <w:r>
              <w:rPr>
                <w:sz w:val="20"/>
                <w:szCs w:val="20"/>
              </w:rPr>
              <w:t xml:space="preserve">17.1%</w:t>
            </w:r>
          </w:p>
        </w:tc>
      </w:tr>
      <w:tr>
        <w:trPr/>
        <w:tc>
          <w:tcPr>
            <w:tcW w:w="9000" w:type="dxa"/>
            <w:vAlign w:val="center"/>
            <w:noWrap/>
          </w:tcPr>
          <w:p>
            <w:pPr/>
            <w:r>
              <w:rPr>
                <w:sz w:val="20"/>
                <w:szCs w:val="20"/>
              </w:rPr>
              <w:t xml:space="preserve">      2</w:t>
            </w:r>
          </w:p>
        </w:tc>
        <w:tc>
          <w:tcPr>
            <w:tcW w:w="900" w:type="dxa"/>
            <w:vAlign w:val="center"/>
            <w:noWrap/>
          </w:tcPr>
          <w:p>
            <w:pPr>
              <w:jc w:val="center"/>
            </w:pPr>
            <w:r>
              <w:rPr>
                <w:sz w:val="20"/>
                <w:szCs w:val="20"/>
              </w:rPr>
              <w:t xml:space="preserve">46</w:t>
            </w:r>
          </w:p>
        </w:tc>
        <w:tc>
          <w:tcPr>
            <w:tcW w:w="900" w:type="dxa"/>
            <w:vAlign w:val="center"/>
            <w:noWrap/>
          </w:tcPr>
          <w:p>
            <w:pPr>
              <w:jc w:val="center"/>
            </w:pPr>
            <w:r>
              <w:rPr>
                <w:sz w:val="20"/>
                <w:szCs w:val="20"/>
              </w:rPr>
              <w:t xml:space="preserve">11.8%</w:t>
            </w:r>
          </w:p>
        </w:tc>
      </w:tr>
      <w:tr>
        <w:trPr/>
        <w:tc>
          <w:tcPr>
            <w:tcW w:w="9000" w:type="dxa"/>
            <w:vAlign w:val="center"/>
            <w:noWrap/>
          </w:tcPr>
          <w:p>
            <w:pPr/>
            <w:r>
              <w:rPr>
                <w:sz w:val="20"/>
                <w:szCs w:val="20"/>
              </w:rPr>
              <w:t xml:space="preserve">      3</w:t>
            </w:r>
          </w:p>
        </w:tc>
        <w:tc>
          <w:tcPr>
            <w:tcW w:w="900" w:type="dxa"/>
            <w:vAlign w:val="center"/>
            <w:noWrap/>
          </w:tcPr>
          <w:p>
            <w:pPr>
              <w:jc w:val="center"/>
            </w:pPr>
            <w:r>
              <w:rPr>
                <w:sz w:val="20"/>
                <w:szCs w:val="20"/>
              </w:rPr>
              <w:t xml:space="preserve">89</w:t>
            </w:r>
          </w:p>
        </w:tc>
        <w:tc>
          <w:tcPr>
            <w:tcW w:w="900" w:type="dxa"/>
            <w:vAlign w:val="center"/>
            <w:noWrap/>
          </w:tcPr>
          <w:p>
            <w:pPr>
              <w:jc w:val="center"/>
            </w:pPr>
            <w:r>
              <w:rPr>
                <w:sz w:val="20"/>
                <w:szCs w:val="20"/>
              </w:rPr>
              <w:t xml:space="preserve">22.8%</w:t>
            </w:r>
          </w:p>
        </w:tc>
      </w:tr>
      <w:tr>
        <w:trPr/>
        <w:tc>
          <w:tcPr>
            <w:tcW w:w="9000" w:type="dxa"/>
            <w:vAlign w:val="center"/>
            <w:noWrap/>
          </w:tcPr>
          <w:p>
            <w:pPr/>
            <w:r>
              <w:rPr>
                <w:sz w:val="20"/>
                <w:szCs w:val="20"/>
              </w:rPr>
              <w:t xml:space="preserve">      4</w:t>
            </w:r>
          </w:p>
        </w:tc>
        <w:tc>
          <w:tcPr>
            <w:tcW w:w="900" w:type="dxa"/>
            <w:vAlign w:val="center"/>
            <w:noWrap/>
          </w:tcPr>
          <w:p>
            <w:pPr>
              <w:jc w:val="center"/>
            </w:pPr>
            <w:r>
              <w:rPr>
                <w:sz w:val="20"/>
                <w:szCs w:val="20"/>
              </w:rPr>
              <w:t xml:space="preserve">49</w:t>
            </w:r>
          </w:p>
        </w:tc>
        <w:tc>
          <w:tcPr>
            <w:tcW w:w="900" w:type="dxa"/>
            <w:vAlign w:val="center"/>
            <w:noWrap/>
          </w:tcPr>
          <w:p>
            <w:pPr>
              <w:jc w:val="center"/>
            </w:pPr>
            <w:r>
              <w:rPr>
                <w:sz w:val="20"/>
                <w:szCs w:val="20"/>
              </w:rPr>
              <w:t xml:space="preserve">12.5%</w:t>
            </w:r>
          </w:p>
        </w:tc>
      </w:tr>
      <w:tr>
        <w:trPr/>
        <w:tc>
          <w:tcPr>
            <w:tcW w:w="9000" w:type="dxa"/>
            <w:vAlign w:val="center"/>
            <w:noWrap/>
          </w:tcPr>
          <w:p>
            <w:pPr/>
            <w:r>
              <w:rPr>
                <w:sz w:val="20"/>
                <w:szCs w:val="20"/>
              </w:rPr>
              <w:t xml:space="preserve">      5</w:t>
            </w:r>
          </w:p>
        </w:tc>
        <w:tc>
          <w:tcPr>
            <w:tcW w:w="900" w:type="dxa"/>
            <w:vAlign w:val="center"/>
            <w:noWrap/>
          </w:tcPr>
          <w:p>
            <w:pPr>
              <w:jc w:val="center"/>
            </w:pPr>
            <w:r>
              <w:rPr>
                <w:sz w:val="20"/>
                <w:szCs w:val="20"/>
              </w:rPr>
              <w:t xml:space="preserve">140</w:t>
            </w:r>
          </w:p>
        </w:tc>
        <w:tc>
          <w:tcPr>
            <w:tcW w:w="900" w:type="dxa"/>
            <w:vAlign w:val="center"/>
            <w:noWrap/>
          </w:tcPr>
          <w:p>
            <w:pPr>
              <w:jc w:val="center"/>
            </w:pPr>
            <w:r>
              <w:rPr>
                <w:sz w:val="20"/>
                <w:szCs w:val="20"/>
              </w:rPr>
              <w:t xml:space="preserve">35.8%</w:t>
            </w:r>
          </w:p>
        </w:tc>
      </w:tr>
      <w:tr>
        <w:trPr/>
        <w:tc>
          <w:tcPr>
            <w:tcW w:w="9000" w:type="dxa"/>
            <w:vAlign w:val="center"/>
            <w:noWrap/>
          </w:tcPr>
          <w:p/>
        </w:tc>
        <w:tc>
          <w:tcPr>
            <w:tcW w:w="900" w:type="dxa"/>
            <w:vAlign w:val="center"/>
            <w:gridSpan w:val="2"/>
            <w:noWrap/>
          </w:tcPr>
          <w:p>
            <w:pPr>
              <w:jc w:val="center"/>
            </w:pPr>
            <w:r>
              <w:rPr>
                <w:b w:val="1"/>
                <w:bCs w:val="1"/>
              </w:rPr>
              <w:t xml:space="preserve">391</w:t>
            </w:r>
          </w:p>
        </w:tc>
      </w:tr>
    </w:tbl>
    <w:p/>
    <w:p>
      <w:pPr>
        <w:jc w:val="right"/>
      </w:pPr>
      <w:r>
        <w:rPr>
          <w:sz w:val="24"/>
          <w:szCs w:val="24"/>
          <w:b w:val="1"/>
          <w:bCs w:val="1"/>
        </w:rPr>
        <w:t xml:space="preserve">420</w:t>
      </w:r>
      <w:r>
        <w:rPr>
          <w:sz w:val="24"/>
          <w:szCs w:val="24"/>
        </w:rPr>
        <w:t xml:space="preserve"> kitöltőtől összesen </w:t>
      </w:r>
      <w:r>
        <w:rPr>
          <w:sz w:val="24"/>
          <w:szCs w:val="24"/>
          <w:b w:val="1"/>
          <w:bCs w:val="1"/>
        </w:rPr>
        <w:t xml:space="preserve">1606</w:t>
      </w:r>
      <w:r>
        <w:rPr>
          <w:sz w:val="24"/>
          <w:szCs w:val="24"/>
        </w:rPr>
        <w:t xml:space="preserve"> válasz</w:t>
      </w:r>
    </w:p>
    <w:p>
      <w:r>
        <w:drawing>
          <wp:inline>
            <wp:extent cx="6858000" cy="5943600"/>
            <wp:docPr id="19" name="Chart19"/>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pPr/>
      <w:r>
        <w:rPr>
          <w:sz w:val="24"/>
          <w:szCs w:val="24"/>
          <w:b w:val="1"/>
          <w:bCs w:val="1"/>
        </w:rPr>
        <w:t xml:space="preserve">"Egyéb" válaszok (52):</w:t>
      </w:r>
    </w:p>
    <w:p>
      <w:pPr>
        <w:numPr>
          <w:ilvl w:val="0"/>
          <w:numId w:val="4"/>
        </w:numPr>
      </w:pPr>
      <w:r>
        <w:rPr/>
        <w:t xml:space="preserve">Legyen esetleg bérelhető, privát rendezvényekre használható is egyben.</w:t>
      </w:r>
    </w:p>
    <w:p>
      <w:pPr>
        <w:numPr>
          <w:ilvl w:val="0"/>
          <w:numId w:val="4"/>
        </w:numPr>
      </w:pPr>
      <w:r>
        <w:rPr/>
        <w:t xml:space="preserve">jó lenne egy színvonalas kávézót is csinálni, ahol le lehet ülni beszélgetni, megpihenni</w:t>
      </w:r>
    </w:p>
    <w:p>
      <w:pPr>
        <w:numPr>
          <w:ilvl w:val="0"/>
          <w:numId w:val="4"/>
        </w:numPr>
      </w:pPr>
      <w:r>
        <w:rPr/>
        <w:t xml:space="preserve">Kisebb pl. kamarazenélésre alkalmas termek.</w:t>
      </w:r>
    </w:p>
    <w:p>
      <w:pPr>
        <w:numPr>
          <w:ilvl w:val="0"/>
          <w:numId w:val="4"/>
        </w:numPr>
      </w:pPr>
      <w:r>
        <w:rPr/>
        <w:t xml:space="preserve">Kávézó jellegû teraszos, meghitt, zöld környezetben regenerálódni lehessen a rohanás közepette.</w:t>
      </w:r>
    </w:p>
    <w:p>
      <w:pPr>
        <w:numPr>
          <w:ilvl w:val="0"/>
          <w:numId w:val="4"/>
        </w:numPr>
      </w:pPr>
      <w:r>
        <w:rPr/>
        <w:t xml:space="preserve">A gyerekprogramok szervezésére kiváló a Káldornál levő nagy játszótér</w:t>
      </w:r>
    </w:p>
    <w:p>
      <w:pPr>
        <w:numPr>
          <w:ilvl w:val="0"/>
          <w:numId w:val="4"/>
        </w:numPr>
      </w:pPr>
      <w:r>
        <w:rPr/>
        <w:t xml:space="preserve">Olvasó sarok</w:t>
      </w:r>
    </w:p>
    <w:p>
      <w:pPr>
        <w:numPr>
          <w:ilvl w:val="0"/>
          <w:numId w:val="4"/>
        </w:numPr>
      </w:pPr>
      <w:r>
        <w:rPr/>
        <w:t xml:space="preserve">esküvők, rendezvényekre bérelhető lehetőséggel</w:t>
      </w:r>
    </w:p>
    <w:p>
      <w:pPr>
        <w:numPr>
          <w:ilvl w:val="0"/>
          <w:numId w:val="4"/>
        </w:numPr>
      </w:pPr>
      <w:r>
        <w:rPr/>
        <w:t xml:space="preserve">Ne a csicsának állítsák helyre az épületet, hanem legyen benne funkció is, ne csak 2 nap a borfesztiválon. Egy vasárnap is nyitvatartó kávézó, normális cukrászda is jó lenne, mert a Még1kiflin kívül nincs semmi hasonló ebben a kerületben, pedig egy kultúrált helyet el tudna tartani a népesség, elég, ha a még1kifliben megnézzük, hányan tartanak 2-3 fős megbeszéléseket.</w:t>
      </w:r>
    </w:p>
    <w:p>
      <w:pPr>
        <w:numPr>
          <w:ilvl w:val="0"/>
          <w:numId w:val="4"/>
        </w:numPr>
      </w:pPr>
      <w:r>
        <w:rPr/>
        <w:t xml:space="preserve">Egyablakos energetikai tanácsadó iroda (one stop shop), ami a lakosságnak nyújt tanácsadást, segítséget az épületenergetikai felújításokhoz.</w:t>
      </w:r>
    </w:p>
    <w:p>
      <w:pPr>
        <w:numPr>
          <w:ilvl w:val="0"/>
          <w:numId w:val="4"/>
        </w:numPr>
      </w:pPr>
      <w:r>
        <w:rPr/>
        <w:t xml:space="preserve">WC igen igen, hogy ne csak a gyerek tudjanak pisilni</w:t>
      </w:r>
    </w:p>
    <w:p>
      <w:pPr>
        <w:numPr>
          <w:ilvl w:val="0"/>
          <w:numId w:val="4"/>
        </w:numPr>
      </w:pPr>
      <w:r>
        <w:rPr/>
        <w:t xml:space="preserve">eetleg kiülő terasz (kávé, sütemény stb)</w:t>
      </w:r>
    </w:p>
    <w:p>
      <w:pPr>
        <w:numPr>
          <w:ilvl w:val="0"/>
          <w:numId w:val="4"/>
        </w:numPr>
      </w:pPr>
      <w:r>
        <w:rPr/>
        <w:t xml:space="preserve">kávézó</w:t>
      </w:r>
    </w:p>
    <w:p>
      <w:pPr>
        <w:numPr>
          <w:ilvl w:val="0"/>
          <w:numId w:val="4"/>
        </w:numPr>
      </w:pPr>
      <w:r>
        <w:rPr/>
        <w:t xml:space="preserve">Szuper lehetőségek a központban</w:t>
      </w:r>
    </w:p>
    <w:p>
      <w:pPr>
        <w:numPr>
          <w:ilvl w:val="0"/>
          <w:numId w:val="4"/>
        </w:numPr>
      </w:pPr>
      <w:r>
        <w:rPr/>
        <w:t xml:space="preserve">Ha már Budafok a bor fővárosa és a tervezett Grinzing elmaradt, legalább egy kultúr borozót ahol a 22 borvidekunk néhány borát megkostolhatnank.</w:t>
      </w:r>
    </w:p>
    <w:p>
      <w:pPr>
        <w:numPr>
          <w:ilvl w:val="0"/>
          <w:numId w:val="4"/>
        </w:numPr>
      </w:pPr>
      <w:r>
        <w:rPr/>
        <w:t xml:space="preserve">nem tudom, hogy a belvárosban van-e testmozgásra alkalmas klubhelyiség, de az sosem árt</w:t>
      </w:r>
    </w:p>
    <w:p>
      <w:pPr>
        <w:numPr>
          <w:ilvl w:val="0"/>
          <w:numId w:val="4"/>
        </w:numPr>
      </w:pPr>
      <w:r>
        <w:rPr/>
        <w:t xml:space="preserve">-</w:t>
      </w:r>
    </w:p>
    <w:p>
      <w:pPr>
        <w:numPr>
          <w:ilvl w:val="0"/>
          <w:numId w:val="4"/>
        </w:numPr>
      </w:pPr>
      <w:r>
        <w:rPr/>
        <w:t xml:space="preserve">kávézó, könyves bolt</w:t>
      </w:r>
    </w:p>
    <w:p>
      <w:pPr>
        <w:numPr>
          <w:ilvl w:val="0"/>
          <w:numId w:val="4"/>
        </w:numPr>
      </w:pPr>
      <w:r>
        <w:rPr/>
        <w:t xml:space="preserve">Itt nincs turisztika, senki nem fog bemenni, nehogy erre pazarolják a pénzt.</w:t>
      </w:r>
    </w:p>
    <w:p>
      <w:pPr>
        <w:numPr>
          <w:ilvl w:val="0"/>
          <w:numId w:val="4"/>
        </w:numPr>
      </w:pPr>
      <w:r>
        <w:rPr/>
        <w:t xml:space="preserve">Adják ki lehetőleg ingyen helyi egyesületeknek saját rendezvény szervezésére.</w:t>
      </w:r>
    </w:p>
    <w:p>
      <w:pPr>
        <w:numPr>
          <w:ilvl w:val="0"/>
          <w:numId w:val="4"/>
        </w:numPr>
      </w:pPr>
      <w:r>
        <w:rPr/>
        <w:t xml:space="preserve">kerületünk kézműveseinek bemutatása, workshopok</w:t>
      </w:r>
    </w:p>
    <w:p>
      <w:pPr>
        <w:numPr>
          <w:ilvl w:val="0"/>
          <w:numId w:val="4"/>
        </w:numPr>
      </w:pPr>
      <w:r>
        <w:rPr/>
        <w:t xml:space="preserve">Kávézó, büfé</w:t>
      </w:r>
    </w:p>
    <w:p>
      <w:pPr>
        <w:numPr>
          <w:ilvl w:val="0"/>
          <w:numId w:val="4"/>
        </w:numPr>
      </w:pPr>
      <w:r>
        <w:rPr/>
        <w:t xml:space="preserve">Borszaküzlet, kizárólag helyi kötődésű termékekkel</w:t>
      </w:r>
    </w:p>
    <w:p>
      <w:pPr>
        <w:numPr>
          <w:ilvl w:val="0"/>
          <w:numId w:val="4"/>
        </w:numPr>
      </w:pPr>
      <w:r>
        <w:rPr/>
        <w:t xml:space="preserve">Esetleg koncerteknek is hely</w:t>
      </w:r>
    </w:p>
    <w:p>
      <w:pPr>
        <w:numPr>
          <w:ilvl w:val="0"/>
          <w:numId w:val="4"/>
        </w:numPr>
      </w:pPr>
      <w:r>
        <w:rPr/>
        <w:t xml:space="preserve">Tancos rendezvények, nagy a kereslet rá, mozgás..</w:t>
      </w:r>
    </w:p>
    <w:p>
      <w:pPr>
        <w:numPr>
          <w:ilvl w:val="0"/>
          <w:numId w:val="4"/>
        </w:numPr>
      </w:pPr>
      <w:r>
        <w:rPr/>
        <w:t xml:space="preserve">Támogatnèk egy vetítő termet. Ingyenesen nézhető filmek. Esetleg büfé ahol vehetnénk popcornt stb.</w:t>
      </w:r>
    </w:p>
    <w:p>
      <w:pPr/>
      <w:r>
        <w:rPr>
          <w:sz w:val="24"/>
          <w:szCs w:val="24"/>
          <w:i w:val="1"/>
          <w:iCs w:val="1"/>
        </w:rPr>
        <w:t xml:space="preserve">További 27 válasz megtekintéséhez válassza az: "Excel CSV teljes" exportálási típust.</w:t>
      </w:r>
    </w:p>
    <w:p>
      <w:pPr>
        <w:sectPr>
          <w:pgSz w:orient="portrait" w:w="11905.511811023622" w:h="16837.79527559055"/>
          <w:pgMar w:top="600" w:right="600" w:bottom="600" w:left="600" w:header="720" w:footer="720" w:gutter="0"/>
          <w:cols w:num="1" w:space="720"/>
        </w:sectPr>
      </w:pPr>
    </w:p>
    <w:p>
      <w:pPr>
        <w:pStyle w:val="Heading1"/>
      </w:pPr>
      <w:bookmarkStart w:id="18" w:name="_Toc18"/>
      <w:r>
        <w:t>A Játék utcának a szakrendelő és az iskola közötti szakasza továbbra is egyirányú lesz, de az irány megfordul, a Duna utcából lehet majd ide behajtani, és az iskola mellett tovább haladni a Káldor Adolf utcán a Pécsi utca, ill. Duna utca felé. A Nádasdy iskola előtt kialakuló új tér teljesen autómentes lesz. Az iskola felé a Mária Terézia utca felől is be lehet majd hajtani egy irányban (a park és a Szieszta pont közötti útszakaszon), majd jobbra fordulva a piac felé tovább haladni, de ezt a Játék utcai szakaszt terveink szerint napközben mentesítenénk az átmenő forgalom alól, csak az iskola kiszolgálásához szükséges főidőben lehetne általánosan használni. A részletek kidolgozása a tervezési feladat része, és további egyeztetések tárgya lesz. A téren és az időszakosan részlegesen vagy egészen forgalommentes területen jelentősen nő a zöldfelület, gyalogosbarát kialakítású lesz, ülőbútorokkal, kerékpártárolókkal.Közlekedési koncepcióterv egyszerűsített tervrajzaZöldfelületi terv egyszerűsített tervrajz - Játék utca</w:t>
      </w:r>
      <w:bookmarkEnd w:id="18"/>
    </w:p>
    <w:p/>
    <w:p>
      <w:pPr>
        <w:jc w:val="right"/>
      </w:pPr>
      <w:r>
        <w:rPr>
          <w:sz w:val="24"/>
          <w:szCs w:val="24"/>
          <w:b w:val="1"/>
          <w:bCs w:val="1"/>
        </w:rPr>
        <w:t xml:space="preserve">0</w:t>
      </w:r>
      <w:r>
        <w:rPr>
          <w:sz w:val="24"/>
          <w:szCs w:val="24"/>
        </w:rPr>
        <w:t xml:space="preserve"> kitöltőtől összesen </w:t>
      </w:r>
      <w:r>
        <w:rPr>
          <w:sz w:val="24"/>
          <w:szCs w:val="24"/>
          <w:b w:val="1"/>
          <w:bCs w:val="1"/>
        </w:rPr>
        <w:t xml:space="preserve">0</w:t>
      </w:r>
      <w:r>
        <w:rPr>
          <w:sz w:val="24"/>
          <w:szCs w:val="24"/>
        </w:rPr>
        <w:t xml:space="preserve"> válasz</w:t>
      </w:r>
    </w:p>
    <w:p>
      <w:pPr>
        <w:sectPr>
          <w:pgSz w:orient="portrait" w:w="11905.511811023622" w:h="16837.79527559055"/>
          <w:pgMar w:top="600" w:right="600" w:bottom="600" w:left="600" w:header="720" w:footer="720" w:gutter="0"/>
          <w:cols w:num="1" w:space="720"/>
        </w:sectPr>
      </w:pPr>
    </w:p>
    <w:p>
      <w:pPr>
        <w:pStyle w:val="Heading1"/>
      </w:pPr>
      <w:bookmarkStart w:id="19" w:name="_Toc19"/>
      <w:r>
        <w:t>PadokKérjük, értékelje számokkal, milyen típusú ülőbútorokat látna szívesen a területen</w:t>
      </w:r>
      <w:bookmarkEnd w:id="19"/>
    </w:p>
    <w:tbl>
      <w:tblGrid>
        <w:gridCol w:w="9000" w:type="dxa"/>
        <w:gridCol w:w="900" w:type="dxa"/>
        <w:gridCol w:w="900" w:type="dxa"/>
      </w:tblGrid>
      <w:tblPr>
        <w:tblStyle w:val="StatTable"/>
      </w:tblPr>
      <w:tr>
        <w:trPr/>
        <w:tc>
          <w:tcPr>
            <w:tcW w:w="9000" w:type="dxa"/>
            <w:vAlign w:val="center"/>
            <w:noWrap/>
          </w:tcPr>
          <w:p>
            <w:pPr/>
            <w:r>
              <w:rPr>
                <w:sz w:val="24"/>
                <w:szCs w:val="24"/>
                <w:b w:val="1"/>
                <w:bCs w:val="1"/>
              </w:rPr>
              <w:t xml:space="preserve">Válasz</w:t>
            </w:r>
          </w:p>
        </w:tc>
        <w:tc>
          <w:tcPr>
            <w:tcW w:w="900" w:type="dxa"/>
            <w:vAlign w:val="center"/>
            <w:noWrap/>
          </w:tcPr>
          <w:p>
            <w:pPr>
              <w:jc w:val="center"/>
            </w:pPr>
            <w:r>
              <w:rPr>
                <w:sz w:val="24"/>
                <w:szCs w:val="24"/>
                <w:b w:val="1"/>
                <w:bCs w:val="1"/>
              </w:rPr>
              <w:t xml:space="preserve">db</w:t>
            </w:r>
          </w:p>
        </w:tc>
        <w:tc>
          <w:tcPr>
            <w:tcW w:w="900" w:type="dxa"/>
            <w:vAlign w:val="center"/>
            <w:noWrap/>
          </w:tcPr>
          <w:p>
            <w:pPr>
              <w:jc w:val="center"/>
            </w:pPr>
            <w:r>
              <w:rPr>
                <w:sz w:val="24"/>
                <w:szCs w:val="24"/>
                <w:b w:val="1"/>
                <w:bCs w:val="1"/>
              </w:rPr>
              <w:t xml:space="preserve">%</w:t>
            </w:r>
          </w:p>
        </w:tc>
      </w:tr>
      <w:tr>
        <w:trPr/>
        <w:tc>
          <w:tcPr>
            <w:tcW w:w="9000" w:type="dxa"/>
            <w:vAlign w:val="center"/>
            <w:gridSpan w:val="3"/>
            <w:noWrap/>
          </w:tcPr>
          <w:p>
            <w:pPr/>
            <w:r>
              <w:rPr>
                <w:sz w:val="24"/>
                <w:szCs w:val="24"/>
              </w:rPr>
              <w:t xml:space="preserve">Klasszikus padok háttámlával</w:t>
            </w:r>
          </w:p>
        </w:tc>
      </w:tr>
      <w:tr>
        <w:trPr/>
        <w:tc>
          <w:tcPr>
            <w:tcW w:w="9000" w:type="dxa"/>
            <w:vAlign w:val="center"/>
            <w:noWrap/>
          </w:tcPr>
          <w:p>
            <w:pPr/>
            <w:r>
              <w:rPr>
                <w:sz w:val="20"/>
                <w:szCs w:val="20"/>
              </w:rPr>
              <w:t xml:space="preserve">      1</w:t>
            </w:r>
          </w:p>
        </w:tc>
        <w:tc>
          <w:tcPr>
            <w:tcW w:w="900" w:type="dxa"/>
            <w:vAlign w:val="center"/>
            <w:noWrap/>
          </w:tcPr>
          <w:p>
            <w:pPr>
              <w:jc w:val="center"/>
            </w:pPr>
            <w:r>
              <w:rPr>
                <w:sz w:val="20"/>
                <w:szCs w:val="20"/>
              </w:rPr>
              <w:t xml:space="preserve">35</w:t>
            </w:r>
          </w:p>
        </w:tc>
        <w:tc>
          <w:tcPr>
            <w:tcW w:w="900" w:type="dxa"/>
            <w:vAlign w:val="center"/>
            <w:noWrap/>
          </w:tcPr>
          <w:p>
            <w:pPr>
              <w:jc w:val="center"/>
            </w:pPr>
            <w:r>
              <w:rPr>
                <w:sz w:val="20"/>
                <w:szCs w:val="20"/>
              </w:rPr>
              <w:t xml:space="preserve">8.7%</w:t>
            </w:r>
          </w:p>
        </w:tc>
      </w:tr>
      <w:tr>
        <w:trPr/>
        <w:tc>
          <w:tcPr>
            <w:tcW w:w="9000" w:type="dxa"/>
            <w:vAlign w:val="center"/>
            <w:noWrap/>
          </w:tcPr>
          <w:p>
            <w:pPr/>
            <w:r>
              <w:rPr>
                <w:sz w:val="20"/>
                <w:szCs w:val="20"/>
              </w:rPr>
              <w:t xml:space="preserve">      2</w:t>
            </w:r>
          </w:p>
        </w:tc>
        <w:tc>
          <w:tcPr>
            <w:tcW w:w="900" w:type="dxa"/>
            <w:vAlign w:val="center"/>
            <w:noWrap/>
          </w:tcPr>
          <w:p>
            <w:pPr>
              <w:jc w:val="center"/>
            </w:pPr>
            <w:r>
              <w:rPr>
                <w:sz w:val="20"/>
                <w:szCs w:val="20"/>
              </w:rPr>
              <w:t xml:space="preserve">17</w:t>
            </w:r>
          </w:p>
        </w:tc>
        <w:tc>
          <w:tcPr>
            <w:tcW w:w="900" w:type="dxa"/>
            <w:vAlign w:val="center"/>
            <w:noWrap/>
          </w:tcPr>
          <w:p>
            <w:pPr>
              <w:jc w:val="center"/>
            </w:pPr>
            <w:r>
              <w:rPr>
                <w:sz w:val="20"/>
                <w:szCs w:val="20"/>
              </w:rPr>
              <w:t xml:space="preserve">4.2%</w:t>
            </w:r>
          </w:p>
        </w:tc>
      </w:tr>
      <w:tr>
        <w:trPr/>
        <w:tc>
          <w:tcPr>
            <w:tcW w:w="9000" w:type="dxa"/>
            <w:vAlign w:val="center"/>
            <w:noWrap/>
          </w:tcPr>
          <w:p>
            <w:pPr/>
            <w:r>
              <w:rPr>
                <w:sz w:val="20"/>
                <w:szCs w:val="20"/>
              </w:rPr>
              <w:t xml:space="preserve">      3</w:t>
            </w:r>
          </w:p>
        </w:tc>
        <w:tc>
          <w:tcPr>
            <w:tcW w:w="900" w:type="dxa"/>
            <w:vAlign w:val="center"/>
            <w:noWrap/>
          </w:tcPr>
          <w:p>
            <w:pPr>
              <w:jc w:val="center"/>
            </w:pPr>
            <w:r>
              <w:rPr>
                <w:sz w:val="20"/>
                <w:szCs w:val="20"/>
              </w:rPr>
              <w:t xml:space="preserve">44</w:t>
            </w:r>
          </w:p>
        </w:tc>
        <w:tc>
          <w:tcPr>
            <w:tcW w:w="900" w:type="dxa"/>
            <w:vAlign w:val="center"/>
            <w:noWrap/>
          </w:tcPr>
          <w:p>
            <w:pPr>
              <w:jc w:val="center"/>
            </w:pPr>
            <w:r>
              <w:rPr>
                <w:sz w:val="20"/>
                <w:szCs w:val="20"/>
              </w:rPr>
              <w:t xml:space="preserve">10.9%</w:t>
            </w:r>
          </w:p>
        </w:tc>
      </w:tr>
      <w:tr>
        <w:trPr/>
        <w:tc>
          <w:tcPr>
            <w:tcW w:w="9000" w:type="dxa"/>
            <w:vAlign w:val="center"/>
            <w:noWrap/>
          </w:tcPr>
          <w:p>
            <w:pPr/>
            <w:r>
              <w:rPr>
                <w:sz w:val="20"/>
                <w:szCs w:val="20"/>
              </w:rPr>
              <w:t xml:space="preserve">      4</w:t>
            </w:r>
          </w:p>
        </w:tc>
        <w:tc>
          <w:tcPr>
            <w:tcW w:w="900" w:type="dxa"/>
            <w:vAlign w:val="center"/>
            <w:noWrap/>
          </w:tcPr>
          <w:p>
            <w:pPr>
              <w:jc w:val="center"/>
            </w:pPr>
            <w:r>
              <w:rPr>
                <w:sz w:val="20"/>
                <w:szCs w:val="20"/>
              </w:rPr>
              <w:t xml:space="preserve">62</w:t>
            </w:r>
          </w:p>
        </w:tc>
        <w:tc>
          <w:tcPr>
            <w:tcW w:w="900" w:type="dxa"/>
            <w:vAlign w:val="center"/>
            <w:noWrap/>
          </w:tcPr>
          <w:p>
            <w:pPr>
              <w:jc w:val="center"/>
            </w:pPr>
            <w:r>
              <w:rPr>
                <w:sz w:val="20"/>
                <w:szCs w:val="20"/>
              </w:rPr>
              <w:t xml:space="preserve">15.3%</w:t>
            </w:r>
          </w:p>
        </w:tc>
      </w:tr>
      <w:tr>
        <w:trPr/>
        <w:tc>
          <w:tcPr>
            <w:tcW w:w="9000" w:type="dxa"/>
            <w:vAlign w:val="center"/>
            <w:noWrap/>
          </w:tcPr>
          <w:p>
            <w:pPr/>
            <w:r>
              <w:rPr>
                <w:sz w:val="20"/>
                <w:szCs w:val="20"/>
              </w:rPr>
              <w:t xml:space="preserve">      5</w:t>
            </w:r>
          </w:p>
        </w:tc>
        <w:tc>
          <w:tcPr>
            <w:tcW w:w="900" w:type="dxa"/>
            <w:vAlign w:val="center"/>
            <w:noWrap/>
          </w:tcPr>
          <w:p>
            <w:pPr>
              <w:jc w:val="center"/>
            </w:pPr>
            <w:r>
              <w:rPr>
                <w:sz w:val="20"/>
                <w:szCs w:val="20"/>
              </w:rPr>
              <w:t xml:space="preserve">246</w:t>
            </w:r>
          </w:p>
        </w:tc>
        <w:tc>
          <w:tcPr>
            <w:tcW w:w="900" w:type="dxa"/>
            <w:vAlign w:val="center"/>
            <w:noWrap/>
          </w:tcPr>
          <w:p>
            <w:pPr>
              <w:jc w:val="center"/>
            </w:pPr>
            <w:r>
              <w:rPr>
                <w:sz w:val="20"/>
                <w:szCs w:val="20"/>
              </w:rPr>
              <w:t xml:space="preserve">60.9%</w:t>
            </w:r>
          </w:p>
        </w:tc>
      </w:tr>
      <w:tr>
        <w:trPr/>
        <w:tc>
          <w:tcPr>
            <w:tcW w:w="9000" w:type="dxa"/>
            <w:vAlign w:val="center"/>
            <w:noWrap/>
          </w:tcPr>
          <w:p/>
        </w:tc>
        <w:tc>
          <w:tcPr>
            <w:tcW w:w="900" w:type="dxa"/>
            <w:vAlign w:val="center"/>
            <w:gridSpan w:val="2"/>
            <w:noWrap/>
          </w:tcPr>
          <w:p>
            <w:pPr>
              <w:jc w:val="center"/>
            </w:pPr>
            <w:r>
              <w:rPr>
                <w:b w:val="1"/>
                <w:bCs w:val="1"/>
              </w:rPr>
              <w:t xml:space="preserve">404</w:t>
            </w:r>
          </w:p>
        </w:tc>
      </w:tr>
      <w:tr>
        <w:trPr/>
        <w:tc>
          <w:tcPr>
            <w:tcW w:w="9000" w:type="dxa"/>
            <w:vAlign w:val="center"/>
            <w:gridSpan w:val="3"/>
            <w:noWrap/>
          </w:tcPr>
          <w:p>
            <w:pPr/>
            <w:r>
              <w:rPr>
                <w:sz w:val="24"/>
                <w:szCs w:val="24"/>
              </w:rPr>
              <w:t xml:space="preserve">Egyszerű ülőtömbok (pl. beton, fa)</w:t>
            </w:r>
          </w:p>
        </w:tc>
      </w:tr>
      <w:tr>
        <w:trPr/>
        <w:tc>
          <w:tcPr>
            <w:tcW w:w="9000" w:type="dxa"/>
            <w:vAlign w:val="center"/>
            <w:noWrap/>
          </w:tcPr>
          <w:p>
            <w:pPr/>
            <w:r>
              <w:rPr>
                <w:sz w:val="20"/>
                <w:szCs w:val="20"/>
              </w:rPr>
              <w:t xml:space="preserve">      1</w:t>
            </w:r>
          </w:p>
        </w:tc>
        <w:tc>
          <w:tcPr>
            <w:tcW w:w="900" w:type="dxa"/>
            <w:vAlign w:val="center"/>
            <w:noWrap/>
          </w:tcPr>
          <w:p>
            <w:pPr>
              <w:jc w:val="center"/>
            </w:pPr>
            <w:r>
              <w:rPr>
                <w:sz w:val="20"/>
                <w:szCs w:val="20"/>
              </w:rPr>
              <w:t xml:space="preserve">116</w:t>
            </w:r>
          </w:p>
        </w:tc>
        <w:tc>
          <w:tcPr>
            <w:tcW w:w="900" w:type="dxa"/>
            <w:vAlign w:val="center"/>
            <w:noWrap/>
          </w:tcPr>
          <w:p>
            <w:pPr>
              <w:jc w:val="center"/>
            </w:pPr>
            <w:r>
              <w:rPr>
                <w:sz w:val="20"/>
                <w:szCs w:val="20"/>
              </w:rPr>
              <w:t xml:space="preserve">32.3%</w:t>
            </w:r>
          </w:p>
        </w:tc>
      </w:tr>
      <w:tr>
        <w:trPr/>
        <w:tc>
          <w:tcPr>
            <w:tcW w:w="9000" w:type="dxa"/>
            <w:vAlign w:val="center"/>
            <w:noWrap/>
          </w:tcPr>
          <w:p>
            <w:pPr/>
            <w:r>
              <w:rPr>
                <w:sz w:val="20"/>
                <w:szCs w:val="20"/>
              </w:rPr>
              <w:t xml:space="preserve">      2</w:t>
            </w:r>
          </w:p>
        </w:tc>
        <w:tc>
          <w:tcPr>
            <w:tcW w:w="900" w:type="dxa"/>
            <w:vAlign w:val="center"/>
            <w:noWrap/>
          </w:tcPr>
          <w:p>
            <w:pPr>
              <w:jc w:val="center"/>
            </w:pPr>
            <w:r>
              <w:rPr>
                <w:sz w:val="20"/>
                <w:szCs w:val="20"/>
              </w:rPr>
              <w:t xml:space="preserve">59</w:t>
            </w:r>
          </w:p>
        </w:tc>
        <w:tc>
          <w:tcPr>
            <w:tcW w:w="900" w:type="dxa"/>
            <w:vAlign w:val="center"/>
            <w:noWrap/>
          </w:tcPr>
          <w:p>
            <w:pPr>
              <w:jc w:val="center"/>
            </w:pPr>
            <w:r>
              <w:rPr>
                <w:sz w:val="20"/>
                <w:szCs w:val="20"/>
              </w:rPr>
              <w:t xml:space="preserve">16.4%</w:t>
            </w:r>
          </w:p>
        </w:tc>
      </w:tr>
      <w:tr>
        <w:trPr/>
        <w:tc>
          <w:tcPr>
            <w:tcW w:w="9000" w:type="dxa"/>
            <w:vAlign w:val="center"/>
            <w:noWrap/>
          </w:tcPr>
          <w:p>
            <w:pPr/>
            <w:r>
              <w:rPr>
                <w:sz w:val="20"/>
                <w:szCs w:val="20"/>
              </w:rPr>
              <w:t xml:space="preserve">      3</w:t>
            </w:r>
          </w:p>
        </w:tc>
        <w:tc>
          <w:tcPr>
            <w:tcW w:w="900" w:type="dxa"/>
            <w:vAlign w:val="center"/>
            <w:noWrap/>
          </w:tcPr>
          <w:p>
            <w:pPr>
              <w:jc w:val="center"/>
            </w:pPr>
            <w:r>
              <w:rPr>
                <w:sz w:val="20"/>
                <w:szCs w:val="20"/>
              </w:rPr>
              <w:t xml:space="preserve">86</w:t>
            </w:r>
          </w:p>
        </w:tc>
        <w:tc>
          <w:tcPr>
            <w:tcW w:w="900" w:type="dxa"/>
            <w:vAlign w:val="center"/>
            <w:noWrap/>
          </w:tcPr>
          <w:p>
            <w:pPr>
              <w:jc w:val="center"/>
            </w:pPr>
            <w:r>
              <w:rPr>
                <w:sz w:val="20"/>
                <w:szCs w:val="20"/>
              </w:rPr>
              <w:t xml:space="preserve">24%</w:t>
            </w:r>
          </w:p>
        </w:tc>
      </w:tr>
      <w:tr>
        <w:trPr/>
        <w:tc>
          <w:tcPr>
            <w:tcW w:w="9000" w:type="dxa"/>
            <w:vAlign w:val="center"/>
            <w:noWrap/>
          </w:tcPr>
          <w:p>
            <w:pPr/>
            <w:r>
              <w:rPr>
                <w:sz w:val="20"/>
                <w:szCs w:val="20"/>
              </w:rPr>
              <w:t xml:space="preserve">      4</w:t>
            </w:r>
          </w:p>
        </w:tc>
        <w:tc>
          <w:tcPr>
            <w:tcW w:w="900" w:type="dxa"/>
            <w:vAlign w:val="center"/>
            <w:noWrap/>
          </w:tcPr>
          <w:p>
            <w:pPr>
              <w:jc w:val="center"/>
            </w:pPr>
            <w:r>
              <w:rPr>
                <w:sz w:val="20"/>
                <w:szCs w:val="20"/>
              </w:rPr>
              <w:t xml:space="preserve">38</w:t>
            </w:r>
          </w:p>
        </w:tc>
        <w:tc>
          <w:tcPr>
            <w:tcW w:w="900" w:type="dxa"/>
            <w:vAlign w:val="center"/>
            <w:noWrap/>
          </w:tcPr>
          <w:p>
            <w:pPr>
              <w:jc w:val="center"/>
            </w:pPr>
            <w:r>
              <w:rPr>
                <w:sz w:val="20"/>
                <w:szCs w:val="20"/>
              </w:rPr>
              <w:t xml:space="preserve">10.6%</w:t>
            </w:r>
          </w:p>
        </w:tc>
      </w:tr>
      <w:tr>
        <w:trPr/>
        <w:tc>
          <w:tcPr>
            <w:tcW w:w="9000" w:type="dxa"/>
            <w:vAlign w:val="center"/>
            <w:noWrap/>
          </w:tcPr>
          <w:p>
            <w:pPr/>
            <w:r>
              <w:rPr>
                <w:sz w:val="20"/>
                <w:szCs w:val="20"/>
              </w:rPr>
              <w:t xml:space="preserve">      5</w:t>
            </w:r>
          </w:p>
        </w:tc>
        <w:tc>
          <w:tcPr>
            <w:tcW w:w="900" w:type="dxa"/>
            <w:vAlign w:val="center"/>
            <w:noWrap/>
          </w:tcPr>
          <w:p>
            <w:pPr>
              <w:jc w:val="center"/>
            </w:pPr>
            <w:r>
              <w:rPr>
                <w:sz w:val="20"/>
                <w:szCs w:val="20"/>
              </w:rPr>
              <w:t xml:space="preserve">60</w:t>
            </w:r>
          </w:p>
        </w:tc>
        <w:tc>
          <w:tcPr>
            <w:tcW w:w="900" w:type="dxa"/>
            <w:vAlign w:val="center"/>
            <w:noWrap/>
          </w:tcPr>
          <w:p>
            <w:pPr>
              <w:jc w:val="center"/>
            </w:pPr>
            <w:r>
              <w:rPr>
                <w:sz w:val="20"/>
                <w:szCs w:val="20"/>
              </w:rPr>
              <w:t xml:space="preserve">16.7%</w:t>
            </w:r>
          </w:p>
        </w:tc>
      </w:tr>
      <w:tr>
        <w:trPr/>
        <w:tc>
          <w:tcPr>
            <w:tcW w:w="9000" w:type="dxa"/>
            <w:vAlign w:val="center"/>
            <w:noWrap/>
          </w:tcPr>
          <w:p/>
        </w:tc>
        <w:tc>
          <w:tcPr>
            <w:tcW w:w="900" w:type="dxa"/>
            <w:vAlign w:val="center"/>
            <w:gridSpan w:val="2"/>
            <w:noWrap/>
          </w:tcPr>
          <w:p>
            <w:pPr>
              <w:jc w:val="center"/>
            </w:pPr>
            <w:r>
              <w:rPr>
                <w:b w:val="1"/>
                <w:bCs w:val="1"/>
              </w:rPr>
              <w:t xml:space="preserve">359</w:t>
            </w:r>
          </w:p>
        </w:tc>
      </w:tr>
      <w:tr>
        <w:trPr/>
        <w:tc>
          <w:tcPr>
            <w:tcW w:w="9000" w:type="dxa"/>
            <w:vAlign w:val="center"/>
            <w:gridSpan w:val="3"/>
            <w:noWrap/>
          </w:tcPr>
          <w:p>
            <w:pPr/>
            <w:r>
              <w:rPr>
                <w:sz w:val="24"/>
                <w:szCs w:val="24"/>
              </w:rPr>
              <w:t xml:space="preserve">Többfunkciós, USB töltős vagy wifis „okospadok”</w:t>
            </w:r>
          </w:p>
        </w:tc>
      </w:tr>
      <w:tr>
        <w:trPr/>
        <w:tc>
          <w:tcPr>
            <w:tcW w:w="9000" w:type="dxa"/>
            <w:vAlign w:val="center"/>
            <w:noWrap/>
          </w:tcPr>
          <w:p>
            <w:pPr/>
            <w:r>
              <w:rPr>
                <w:sz w:val="20"/>
                <w:szCs w:val="20"/>
              </w:rPr>
              <w:t xml:space="preserve">      1</w:t>
            </w:r>
          </w:p>
        </w:tc>
        <w:tc>
          <w:tcPr>
            <w:tcW w:w="900" w:type="dxa"/>
            <w:vAlign w:val="center"/>
            <w:noWrap/>
          </w:tcPr>
          <w:p>
            <w:pPr>
              <w:jc w:val="center"/>
            </w:pPr>
            <w:r>
              <w:rPr>
                <w:sz w:val="20"/>
                <w:szCs w:val="20"/>
              </w:rPr>
              <w:t xml:space="preserve">89</w:t>
            </w:r>
          </w:p>
        </w:tc>
        <w:tc>
          <w:tcPr>
            <w:tcW w:w="900" w:type="dxa"/>
            <w:vAlign w:val="center"/>
            <w:noWrap/>
          </w:tcPr>
          <w:p>
            <w:pPr>
              <w:jc w:val="center"/>
            </w:pPr>
            <w:r>
              <w:rPr>
                <w:sz w:val="20"/>
                <w:szCs w:val="20"/>
              </w:rPr>
              <w:t xml:space="preserve">23.4%</w:t>
            </w:r>
          </w:p>
        </w:tc>
      </w:tr>
      <w:tr>
        <w:trPr/>
        <w:tc>
          <w:tcPr>
            <w:tcW w:w="9000" w:type="dxa"/>
            <w:vAlign w:val="center"/>
            <w:noWrap/>
          </w:tcPr>
          <w:p>
            <w:pPr/>
            <w:r>
              <w:rPr>
                <w:sz w:val="20"/>
                <w:szCs w:val="20"/>
              </w:rPr>
              <w:t xml:space="preserve">      2</w:t>
            </w:r>
          </w:p>
        </w:tc>
        <w:tc>
          <w:tcPr>
            <w:tcW w:w="900" w:type="dxa"/>
            <w:vAlign w:val="center"/>
            <w:noWrap/>
          </w:tcPr>
          <w:p>
            <w:pPr>
              <w:jc w:val="center"/>
            </w:pPr>
            <w:r>
              <w:rPr>
                <w:sz w:val="20"/>
                <w:szCs w:val="20"/>
              </w:rPr>
              <w:t xml:space="preserve">26</w:t>
            </w:r>
          </w:p>
        </w:tc>
        <w:tc>
          <w:tcPr>
            <w:tcW w:w="900" w:type="dxa"/>
            <w:vAlign w:val="center"/>
            <w:noWrap/>
          </w:tcPr>
          <w:p>
            <w:pPr>
              <w:jc w:val="center"/>
            </w:pPr>
            <w:r>
              <w:rPr>
                <w:sz w:val="20"/>
                <w:szCs w:val="20"/>
              </w:rPr>
              <w:t xml:space="preserve">6.8%</w:t>
            </w:r>
          </w:p>
        </w:tc>
      </w:tr>
      <w:tr>
        <w:trPr/>
        <w:tc>
          <w:tcPr>
            <w:tcW w:w="9000" w:type="dxa"/>
            <w:vAlign w:val="center"/>
            <w:noWrap/>
          </w:tcPr>
          <w:p>
            <w:pPr/>
            <w:r>
              <w:rPr>
                <w:sz w:val="20"/>
                <w:szCs w:val="20"/>
              </w:rPr>
              <w:t xml:space="preserve">      3</w:t>
            </w:r>
          </w:p>
        </w:tc>
        <w:tc>
          <w:tcPr>
            <w:tcW w:w="900" w:type="dxa"/>
            <w:vAlign w:val="center"/>
            <w:noWrap/>
          </w:tcPr>
          <w:p>
            <w:pPr>
              <w:jc w:val="center"/>
            </w:pPr>
            <w:r>
              <w:rPr>
                <w:sz w:val="20"/>
                <w:szCs w:val="20"/>
              </w:rPr>
              <w:t xml:space="preserve">78</w:t>
            </w:r>
          </w:p>
        </w:tc>
        <w:tc>
          <w:tcPr>
            <w:tcW w:w="900" w:type="dxa"/>
            <w:vAlign w:val="center"/>
            <w:noWrap/>
          </w:tcPr>
          <w:p>
            <w:pPr>
              <w:jc w:val="center"/>
            </w:pPr>
            <w:r>
              <w:rPr>
                <w:sz w:val="20"/>
                <w:szCs w:val="20"/>
              </w:rPr>
              <w:t xml:space="preserve">20.5%</w:t>
            </w:r>
          </w:p>
        </w:tc>
      </w:tr>
      <w:tr>
        <w:trPr/>
        <w:tc>
          <w:tcPr>
            <w:tcW w:w="9000" w:type="dxa"/>
            <w:vAlign w:val="center"/>
            <w:noWrap/>
          </w:tcPr>
          <w:p>
            <w:pPr/>
            <w:r>
              <w:rPr>
                <w:sz w:val="20"/>
                <w:szCs w:val="20"/>
              </w:rPr>
              <w:t xml:space="preserve">      4</w:t>
            </w:r>
          </w:p>
        </w:tc>
        <w:tc>
          <w:tcPr>
            <w:tcW w:w="900" w:type="dxa"/>
            <w:vAlign w:val="center"/>
            <w:noWrap/>
          </w:tcPr>
          <w:p>
            <w:pPr>
              <w:jc w:val="center"/>
            </w:pPr>
            <w:r>
              <w:rPr>
                <w:sz w:val="20"/>
                <w:szCs w:val="20"/>
              </w:rPr>
              <w:t xml:space="preserve">48</w:t>
            </w:r>
          </w:p>
        </w:tc>
        <w:tc>
          <w:tcPr>
            <w:tcW w:w="900" w:type="dxa"/>
            <w:vAlign w:val="center"/>
            <w:noWrap/>
          </w:tcPr>
          <w:p>
            <w:pPr>
              <w:jc w:val="center"/>
            </w:pPr>
            <w:r>
              <w:rPr>
                <w:sz w:val="20"/>
                <w:szCs w:val="20"/>
              </w:rPr>
              <w:t xml:space="preserve">12.6%</w:t>
            </w:r>
          </w:p>
        </w:tc>
      </w:tr>
      <w:tr>
        <w:trPr/>
        <w:tc>
          <w:tcPr>
            <w:tcW w:w="9000" w:type="dxa"/>
            <w:vAlign w:val="center"/>
            <w:noWrap/>
          </w:tcPr>
          <w:p>
            <w:pPr/>
            <w:r>
              <w:rPr>
                <w:sz w:val="20"/>
                <w:szCs w:val="20"/>
              </w:rPr>
              <w:t xml:space="preserve">      5</w:t>
            </w:r>
          </w:p>
        </w:tc>
        <w:tc>
          <w:tcPr>
            <w:tcW w:w="900" w:type="dxa"/>
            <w:vAlign w:val="center"/>
            <w:noWrap/>
          </w:tcPr>
          <w:p>
            <w:pPr>
              <w:jc w:val="center"/>
            </w:pPr>
            <w:r>
              <w:rPr>
                <w:sz w:val="20"/>
                <w:szCs w:val="20"/>
              </w:rPr>
              <w:t xml:space="preserve">139</w:t>
            </w:r>
          </w:p>
        </w:tc>
        <w:tc>
          <w:tcPr>
            <w:tcW w:w="900" w:type="dxa"/>
            <w:vAlign w:val="center"/>
            <w:noWrap/>
          </w:tcPr>
          <w:p>
            <w:pPr>
              <w:jc w:val="center"/>
            </w:pPr>
            <w:r>
              <w:rPr>
                <w:sz w:val="20"/>
                <w:szCs w:val="20"/>
              </w:rPr>
              <w:t xml:space="preserve">36.6%</w:t>
            </w:r>
          </w:p>
        </w:tc>
      </w:tr>
      <w:tr>
        <w:trPr/>
        <w:tc>
          <w:tcPr>
            <w:tcW w:w="9000" w:type="dxa"/>
            <w:vAlign w:val="center"/>
            <w:noWrap/>
          </w:tcPr>
          <w:p/>
        </w:tc>
        <w:tc>
          <w:tcPr>
            <w:tcW w:w="900" w:type="dxa"/>
            <w:vAlign w:val="center"/>
            <w:gridSpan w:val="2"/>
            <w:noWrap/>
          </w:tcPr>
          <w:p>
            <w:pPr>
              <w:jc w:val="center"/>
            </w:pPr>
            <w:r>
              <w:rPr>
                <w:b w:val="1"/>
                <w:bCs w:val="1"/>
              </w:rPr>
              <w:t xml:space="preserve">380</w:t>
            </w:r>
          </w:p>
        </w:tc>
      </w:tr>
      <w:tr>
        <w:trPr/>
        <w:tc>
          <w:tcPr>
            <w:tcW w:w="9000" w:type="dxa"/>
            <w:vAlign w:val="center"/>
            <w:gridSpan w:val="3"/>
            <w:noWrap/>
          </w:tcPr>
          <w:p>
            <w:pPr/>
            <w:r>
              <w:rPr>
                <w:sz w:val="24"/>
                <w:szCs w:val="24"/>
              </w:rPr>
              <w:t xml:space="preserve">Pad asztallal</w:t>
            </w:r>
          </w:p>
        </w:tc>
      </w:tr>
      <w:tr>
        <w:trPr/>
        <w:tc>
          <w:tcPr>
            <w:tcW w:w="9000" w:type="dxa"/>
            <w:vAlign w:val="center"/>
            <w:noWrap/>
          </w:tcPr>
          <w:p>
            <w:pPr/>
            <w:r>
              <w:rPr>
                <w:sz w:val="20"/>
                <w:szCs w:val="20"/>
              </w:rPr>
              <w:t xml:space="preserve">      1</w:t>
            </w:r>
          </w:p>
        </w:tc>
        <w:tc>
          <w:tcPr>
            <w:tcW w:w="900" w:type="dxa"/>
            <w:vAlign w:val="center"/>
            <w:noWrap/>
          </w:tcPr>
          <w:p>
            <w:pPr>
              <w:jc w:val="center"/>
            </w:pPr>
            <w:r>
              <w:rPr>
                <w:sz w:val="20"/>
                <w:szCs w:val="20"/>
              </w:rPr>
              <w:t xml:space="preserve">60</w:t>
            </w:r>
          </w:p>
        </w:tc>
        <w:tc>
          <w:tcPr>
            <w:tcW w:w="900" w:type="dxa"/>
            <w:vAlign w:val="center"/>
            <w:noWrap/>
          </w:tcPr>
          <w:p>
            <w:pPr>
              <w:jc w:val="center"/>
            </w:pPr>
            <w:r>
              <w:rPr>
                <w:sz w:val="20"/>
                <w:szCs w:val="20"/>
              </w:rPr>
              <w:t xml:space="preserve">15.7%</w:t>
            </w:r>
          </w:p>
        </w:tc>
      </w:tr>
      <w:tr>
        <w:trPr/>
        <w:tc>
          <w:tcPr>
            <w:tcW w:w="9000" w:type="dxa"/>
            <w:vAlign w:val="center"/>
            <w:noWrap/>
          </w:tcPr>
          <w:p>
            <w:pPr/>
            <w:r>
              <w:rPr>
                <w:sz w:val="20"/>
                <w:szCs w:val="20"/>
              </w:rPr>
              <w:t xml:space="preserve">      2</w:t>
            </w:r>
          </w:p>
        </w:tc>
        <w:tc>
          <w:tcPr>
            <w:tcW w:w="900" w:type="dxa"/>
            <w:vAlign w:val="center"/>
            <w:noWrap/>
          </w:tcPr>
          <w:p>
            <w:pPr>
              <w:jc w:val="center"/>
            </w:pPr>
            <w:r>
              <w:rPr>
                <w:sz w:val="20"/>
                <w:szCs w:val="20"/>
              </w:rPr>
              <w:t xml:space="preserve">18</w:t>
            </w:r>
          </w:p>
        </w:tc>
        <w:tc>
          <w:tcPr>
            <w:tcW w:w="900" w:type="dxa"/>
            <w:vAlign w:val="center"/>
            <w:noWrap/>
          </w:tcPr>
          <w:p>
            <w:pPr>
              <w:jc w:val="center"/>
            </w:pPr>
            <w:r>
              <w:rPr>
                <w:sz w:val="20"/>
                <w:szCs w:val="20"/>
              </w:rPr>
              <w:t xml:space="preserve">4.7%</w:t>
            </w:r>
          </w:p>
        </w:tc>
      </w:tr>
      <w:tr>
        <w:trPr/>
        <w:tc>
          <w:tcPr>
            <w:tcW w:w="9000" w:type="dxa"/>
            <w:vAlign w:val="center"/>
            <w:noWrap/>
          </w:tcPr>
          <w:p>
            <w:pPr/>
            <w:r>
              <w:rPr>
                <w:sz w:val="20"/>
                <w:szCs w:val="20"/>
              </w:rPr>
              <w:t xml:space="preserve">      3</w:t>
            </w:r>
          </w:p>
        </w:tc>
        <w:tc>
          <w:tcPr>
            <w:tcW w:w="900" w:type="dxa"/>
            <w:vAlign w:val="center"/>
            <w:noWrap/>
          </w:tcPr>
          <w:p>
            <w:pPr>
              <w:jc w:val="center"/>
            </w:pPr>
            <w:r>
              <w:rPr>
                <w:sz w:val="20"/>
                <w:szCs w:val="20"/>
              </w:rPr>
              <w:t xml:space="preserve">69</w:t>
            </w:r>
          </w:p>
        </w:tc>
        <w:tc>
          <w:tcPr>
            <w:tcW w:w="900" w:type="dxa"/>
            <w:vAlign w:val="center"/>
            <w:noWrap/>
          </w:tcPr>
          <w:p>
            <w:pPr>
              <w:jc w:val="center"/>
            </w:pPr>
            <w:r>
              <w:rPr>
                <w:sz w:val="20"/>
                <w:szCs w:val="20"/>
              </w:rPr>
              <w:t xml:space="preserve">18.1%</w:t>
            </w:r>
          </w:p>
        </w:tc>
      </w:tr>
      <w:tr>
        <w:trPr/>
        <w:tc>
          <w:tcPr>
            <w:tcW w:w="9000" w:type="dxa"/>
            <w:vAlign w:val="center"/>
            <w:noWrap/>
          </w:tcPr>
          <w:p>
            <w:pPr/>
            <w:r>
              <w:rPr>
                <w:sz w:val="20"/>
                <w:szCs w:val="20"/>
              </w:rPr>
              <w:t xml:space="preserve">      4</w:t>
            </w:r>
          </w:p>
        </w:tc>
        <w:tc>
          <w:tcPr>
            <w:tcW w:w="900" w:type="dxa"/>
            <w:vAlign w:val="center"/>
            <w:noWrap/>
          </w:tcPr>
          <w:p>
            <w:pPr>
              <w:jc w:val="center"/>
            </w:pPr>
            <w:r>
              <w:rPr>
                <w:sz w:val="20"/>
                <w:szCs w:val="20"/>
              </w:rPr>
              <w:t xml:space="preserve">69</w:t>
            </w:r>
          </w:p>
        </w:tc>
        <w:tc>
          <w:tcPr>
            <w:tcW w:w="900" w:type="dxa"/>
            <w:vAlign w:val="center"/>
            <w:noWrap/>
          </w:tcPr>
          <w:p>
            <w:pPr>
              <w:jc w:val="center"/>
            </w:pPr>
            <w:r>
              <w:rPr>
                <w:sz w:val="20"/>
                <w:szCs w:val="20"/>
              </w:rPr>
              <w:t xml:space="preserve">18.1%</w:t>
            </w:r>
          </w:p>
        </w:tc>
      </w:tr>
      <w:tr>
        <w:trPr/>
        <w:tc>
          <w:tcPr>
            <w:tcW w:w="9000" w:type="dxa"/>
            <w:vAlign w:val="center"/>
            <w:noWrap/>
          </w:tcPr>
          <w:p>
            <w:pPr/>
            <w:r>
              <w:rPr>
                <w:sz w:val="20"/>
                <w:szCs w:val="20"/>
              </w:rPr>
              <w:t xml:space="preserve">      5</w:t>
            </w:r>
          </w:p>
        </w:tc>
        <w:tc>
          <w:tcPr>
            <w:tcW w:w="900" w:type="dxa"/>
            <w:vAlign w:val="center"/>
            <w:noWrap/>
          </w:tcPr>
          <w:p>
            <w:pPr>
              <w:jc w:val="center"/>
            </w:pPr>
            <w:r>
              <w:rPr>
                <w:sz w:val="20"/>
                <w:szCs w:val="20"/>
              </w:rPr>
              <w:t xml:space="preserve">166</w:t>
            </w:r>
          </w:p>
        </w:tc>
        <w:tc>
          <w:tcPr>
            <w:tcW w:w="900" w:type="dxa"/>
            <w:vAlign w:val="center"/>
            <w:noWrap/>
          </w:tcPr>
          <w:p>
            <w:pPr>
              <w:jc w:val="center"/>
            </w:pPr>
            <w:r>
              <w:rPr>
                <w:sz w:val="20"/>
                <w:szCs w:val="20"/>
              </w:rPr>
              <w:t xml:space="preserve">43.5%</w:t>
            </w:r>
          </w:p>
        </w:tc>
      </w:tr>
      <w:tr>
        <w:trPr/>
        <w:tc>
          <w:tcPr>
            <w:tcW w:w="9000" w:type="dxa"/>
            <w:vAlign w:val="center"/>
            <w:noWrap/>
          </w:tcPr>
          <w:p/>
        </w:tc>
        <w:tc>
          <w:tcPr>
            <w:tcW w:w="900" w:type="dxa"/>
            <w:vAlign w:val="center"/>
            <w:gridSpan w:val="2"/>
            <w:noWrap/>
          </w:tcPr>
          <w:p>
            <w:pPr>
              <w:jc w:val="center"/>
            </w:pPr>
            <w:r>
              <w:rPr>
                <w:b w:val="1"/>
                <w:bCs w:val="1"/>
              </w:rPr>
              <w:t xml:space="preserve">382</w:t>
            </w:r>
          </w:p>
        </w:tc>
      </w:tr>
    </w:tbl>
    <w:p/>
    <w:p>
      <w:pPr>
        <w:jc w:val="right"/>
      </w:pPr>
      <w:r>
        <w:rPr>
          <w:sz w:val="24"/>
          <w:szCs w:val="24"/>
          <w:b w:val="1"/>
          <w:bCs w:val="1"/>
        </w:rPr>
        <w:t xml:space="preserve">422</w:t>
      </w:r>
      <w:r>
        <w:rPr>
          <w:sz w:val="24"/>
          <w:szCs w:val="24"/>
        </w:rPr>
        <w:t xml:space="preserve"> kitöltőtől összesen </w:t>
      </w:r>
      <w:r>
        <w:rPr>
          <w:sz w:val="24"/>
          <w:szCs w:val="24"/>
          <w:b w:val="1"/>
          <w:bCs w:val="1"/>
        </w:rPr>
        <w:t xml:space="preserve">1525</w:t>
      </w:r>
      <w:r>
        <w:rPr>
          <w:sz w:val="24"/>
          <w:szCs w:val="24"/>
        </w:rPr>
        <w:t xml:space="preserve"> válasz</w:t>
      </w:r>
    </w:p>
    <w:p>
      <w:r>
        <w:drawing>
          <wp:inline>
            <wp:extent cx="6858000" cy="5943600"/>
            <wp:docPr id="20" name="Chart20"/>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pPr/>
      <w:r>
        <w:rPr>
          <w:sz w:val="24"/>
          <w:szCs w:val="24"/>
          <w:b w:val="1"/>
          <w:bCs w:val="1"/>
        </w:rPr>
        <w:t xml:space="preserve">"Egyéb" válaszok (27):</w:t>
      </w:r>
    </w:p>
    <w:p>
      <w:pPr>
        <w:numPr>
          <w:ilvl w:val="0"/>
          <w:numId w:val="4"/>
        </w:numPr>
      </w:pPr>
      <w:r>
        <w:rPr/>
        <w:t xml:space="preserve">Támlás és karfás székek kellenek. Meg tudom közelíteni az SZTK-t autóval. Alig tudok járni.</w:t>
      </w:r>
    </w:p>
    <w:p>
      <w:pPr>
        <w:numPr>
          <w:ilvl w:val="0"/>
          <w:numId w:val="4"/>
        </w:numPr>
      </w:pPr>
      <w:r>
        <w:rPr/>
        <w:t xml:space="preserve">Mint elmondtam ez nem ide való</w:t>
      </w:r>
    </w:p>
    <w:p>
      <w:pPr>
        <w:numPr>
          <w:ilvl w:val="0"/>
          <w:numId w:val="4"/>
        </w:numPr>
      </w:pPr>
      <w:r>
        <w:rPr/>
        <w:t xml:space="preserve">parkba pihenni, nézelődni és ne Wifizni járjanak az emberek</w:t>
      </w:r>
    </w:p>
    <w:p>
      <w:pPr>
        <w:numPr>
          <w:ilvl w:val="0"/>
          <w:numId w:val="4"/>
        </w:numPr>
      </w:pPr>
      <w:r>
        <w:rPr/>
        <w:t xml:space="preserve">1 személyes karosszék</w:t>
      </w:r>
    </w:p>
    <w:p>
      <w:pPr>
        <w:numPr>
          <w:ilvl w:val="0"/>
          <w:numId w:val="4"/>
        </w:numPr>
      </w:pPr>
      <w:r>
        <w:rPr/>
        <w:t xml:space="preserve">Előbb a forgalomtechnika, aztán a tájépítészeti munka legvégének az utolsó fázisa. Ez olyan kérdés, mintha telekválasztás előtt már kiválasztom a nappali parkettáját. Cuki, de felestleges.</w:t>
      </w:r>
    </w:p>
    <w:p>
      <w:pPr>
        <w:numPr>
          <w:ilvl w:val="0"/>
          <w:numId w:val="4"/>
        </w:numPr>
      </w:pPr>
      <w:r>
        <w:rPr/>
        <w:t xml:space="preserve">Legyen teljesen, állandóan autómentes a terület, ne támogassuk az autóval történő gyermekszállítást az iskolába.</w:t>
      </w:r>
    </w:p>
    <w:p>
      <w:pPr>
        <w:numPr>
          <w:ilvl w:val="0"/>
          <w:numId w:val="4"/>
        </w:numPr>
      </w:pPr>
      <w:r>
        <w:rPr/>
        <w:t xml:space="preserve">vandál álló eszközök</w:t>
      </w:r>
    </w:p>
    <w:p>
      <w:pPr>
        <w:numPr>
          <w:ilvl w:val="0"/>
          <w:numId w:val="4"/>
        </w:numPr>
      </w:pPr>
      <w:r>
        <w:rPr/>
        <w:t xml:space="preserve">mozgáskorlátozott barát legyen</w:t>
      </w:r>
    </w:p>
    <w:p>
      <w:pPr>
        <w:numPr>
          <w:ilvl w:val="0"/>
          <w:numId w:val="4"/>
        </w:numPr>
      </w:pPr>
      <w:r>
        <w:rPr/>
        <w:t xml:space="preserve">Előző hasonló kérdéshez ugyanaz a komment a hajléktalanokról</w:t>
      </w:r>
    </w:p>
    <w:p>
      <w:pPr>
        <w:numPr>
          <w:ilvl w:val="0"/>
          <w:numId w:val="4"/>
        </w:numPr>
      </w:pPr>
      <w:r>
        <w:rPr/>
        <w:t xml:space="preserve">Fémbútorokkal kapcsolatban tudok segíteni. Tervezés kivitelezés telepítés, és garancia</w:t>
      </w:r>
    </w:p>
    <w:p>
      <w:pPr>
        <w:numPr>
          <w:ilvl w:val="0"/>
          <w:numId w:val="4"/>
        </w:numPr>
      </w:pPr>
      <w:r>
        <w:rPr/>
        <w:t xml:space="preserve">A közterületi ülőbútorok általában hajléktalanmágnesek :-(, a töltős / wifis verzió veg a vandalizmusnak szokott áldozatul esni.</w:t>
      </w:r>
    </w:p>
    <w:p>
      <w:pPr>
        <w:numPr>
          <w:ilvl w:val="0"/>
          <w:numId w:val="4"/>
        </w:numPr>
      </w:pPr>
      <w:r>
        <w:rPr/>
        <w:t xml:space="preserve">Beton NEM, fa IGEN</w:t>
      </w:r>
    </w:p>
    <w:p>
      <w:pPr>
        <w:numPr>
          <w:ilvl w:val="0"/>
          <w:numId w:val="4"/>
        </w:numPr>
      </w:pPr>
      <w:r>
        <w:rPr/>
        <w:t xml:space="preserve">Jobb lenne ha megmaradna a közlekedés autoval</w:t>
      </w:r>
    </w:p>
    <w:p>
      <w:pPr>
        <w:numPr>
          <w:ilvl w:val="0"/>
          <w:numId w:val="4"/>
        </w:numPr>
      </w:pPr>
      <w:r>
        <w:rPr/>
        <w:t xml:space="preserve">nincs</w:t>
      </w:r>
    </w:p>
    <w:p>
      <w:pPr>
        <w:numPr>
          <w:ilvl w:val="0"/>
          <w:numId w:val="4"/>
        </w:numPr>
      </w:pPr>
      <w:r>
        <w:rPr/>
        <w:t xml:space="preserve">Ivokut</w:t>
      </w:r>
    </w:p>
    <w:p>
      <w:pPr>
        <w:numPr>
          <w:ilvl w:val="0"/>
          <w:numId w:val="4"/>
        </w:numPr>
      </w:pPr>
      <w:r>
        <w:rPr/>
        <w:t xml:space="preserve">-</w:t>
      </w:r>
    </w:p>
    <w:p>
      <w:pPr>
        <w:numPr>
          <w:ilvl w:val="0"/>
          <w:numId w:val="4"/>
        </w:numPr>
      </w:pPr>
      <w:r>
        <w:rPr/>
        <w:t xml:space="preserve">Üvegbetonból készült, meleg padok, hordó formájú ülések hordóasztallal.</w:t>
      </w:r>
    </w:p>
    <w:p>
      <w:pPr>
        <w:numPr>
          <w:ilvl w:val="0"/>
          <w:numId w:val="4"/>
        </w:numPr>
      </w:pPr>
      <w:r>
        <w:rPr/>
        <w:t xml:space="preserve">Alkoholisták és drogosok gyűjtőhelye lenne, mint most is a piac része.</w:t>
      </w:r>
    </w:p>
    <w:p>
      <w:pPr>
        <w:numPr>
          <w:ilvl w:val="0"/>
          <w:numId w:val="4"/>
        </w:numPr>
      </w:pPr>
      <w:r>
        <w:rPr/>
        <w:t xml:space="preserve">napvitorla elhelyezése</w:t>
      </w:r>
    </w:p>
    <w:p>
      <w:pPr>
        <w:numPr>
          <w:ilvl w:val="0"/>
          <w:numId w:val="4"/>
        </w:numPr>
      </w:pPr>
      <w:r>
        <w:rPr/>
        <w:t xml:space="preserve">Nyugagyak</w:t>
      </w:r>
    </w:p>
    <w:p>
      <w:pPr>
        <w:numPr>
          <w:ilvl w:val="0"/>
          <w:numId w:val="4"/>
        </w:numPr>
      </w:pPr>
      <w:r>
        <w:rPr/>
        <w:t xml:space="preserve">Ki fogja használni, 22 kerület lakosságának nagy része autóval jár, mert rossz a tömegközlekedés? Az Szakerendelőhöz, hogy fogom tudni a lázas, törött lábú gyereket időseket odavinni? 80 éves szószék nénit a postára elvinni?</w:t>
      </w:r>
    </w:p>
    <w:p>
      <w:pPr>
        <w:numPr>
          <w:ilvl w:val="0"/>
          <w:numId w:val="4"/>
        </w:numPr>
      </w:pPr>
      <w:r>
        <w:rPr/>
        <w:t xml:space="preserve">Parkoló</w:t>
      </w:r>
    </w:p>
    <w:p>
      <w:pPr>
        <w:numPr>
          <w:ilvl w:val="0"/>
          <w:numId w:val="4"/>
        </w:numPr>
      </w:pPr>
      <w:r>
        <w:rPr/>
        <w:t xml:space="preserve">XI.ker. ETELE petanque pálya körül elhelyezett bútorok. Több százan járnak oda. Van 60 feletti klub, idősek otthona foglakozások, pálya körül néző padok, mindez két lakótelepi ház között.</w:t>
      </w:r>
    </w:p>
    <w:p>
      <w:pPr>
        <w:numPr>
          <w:ilvl w:val="0"/>
          <w:numId w:val="4"/>
        </w:numPr>
      </w:pPr>
      <w:r>
        <w:rPr/>
        <w:t xml:space="preserve">ott a közelben a játszótér, oda a fák alá kellene tobb pad asztallal</w:t>
      </w:r>
    </w:p>
    <w:p>
      <w:pPr>
        <w:numPr>
          <w:ilvl w:val="0"/>
          <w:numId w:val="4"/>
        </w:numPr>
      </w:pPr>
      <w:r>
        <w:rPr/>
        <w:t xml:space="preserve">Ne legyen több személyes és ne legyen kényelmes. Igy talán nem fogják lelakni a csövesek</w:t>
      </w:r>
    </w:p>
    <w:p>
      <w:pPr/>
      <w:r>
        <w:rPr>
          <w:sz w:val="24"/>
          <w:szCs w:val="24"/>
          <w:i w:val="1"/>
          <w:iCs w:val="1"/>
        </w:rPr>
        <w:t xml:space="preserve">További 2 válasz megtekintéséhez válassza az: "Excel CSV teljes" exportálási típust.</w:t>
      </w:r>
    </w:p>
    <w:p>
      <w:pPr>
        <w:sectPr>
          <w:pgSz w:orient="portrait" w:w="11905.511811023622" w:h="16837.79527559055"/>
          <w:pgMar w:top="600" w:right="600" w:bottom="600" w:left="600" w:header="720" w:footer="720" w:gutter="0"/>
          <w:cols w:num="1" w:space="720"/>
        </w:sectPr>
      </w:pPr>
    </w:p>
    <w:p>
      <w:pPr>
        <w:pStyle w:val="Heading1"/>
      </w:pPr>
      <w:bookmarkStart w:id="20" w:name="_Toc20"/>
      <w:r>
        <w:t>Van-e konkrét ötlete, hogy hová helyezne el ülőbútorokat?</w:t>
      </w:r>
      <w:bookmarkEnd w:id="20"/>
    </w:p>
    <w:tbl>
      <w:tblGrid>
        <w:gridCol w:w="11000" w:type="dxa"/>
      </w:tblGrid>
      <w:tblPr>
        <w:tblStyle w:val="TextTable"/>
      </w:tblPr>
      <w:tr>
        <w:trPr/>
        <w:tc>
          <w:tcPr>
            <w:tcW w:w="11000" w:type="dxa"/>
            <w:vAlign w:val="center"/>
            <w:noWrap/>
          </w:tcPr>
          <w:p>
            <w:pPr/>
            <w:r>
              <w:rPr/>
              <w:t xml:space="preserve">nincs</w:t>
            </w:r>
          </w:p>
        </w:tc>
      </w:tr>
      <w:tr>
        <w:trPr/>
        <w:tc>
          <w:tcPr>
            <w:tcW w:w="11000" w:type="dxa"/>
            <w:vAlign w:val="center"/>
            <w:noWrap/>
          </w:tcPr>
          <w:p>
            <w:pPr/>
            <w:r>
              <w:rPr/>
              <w:t xml:space="preserve">Mindenhová, ahová csak lehet.</w:t>
            </w:r>
          </w:p>
        </w:tc>
      </w:tr>
      <w:tr>
        <w:trPr/>
        <w:tc>
          <w:tcPr>
            <w:tcW w:w="11000" w:type="dxa"/>
            <w:vAlign w:val="center"/>
            <w:noWrap/>
          </w:tcPr>
          <w:p>
            <w:pPr/>
            <w:r>
              <w:rPr/>
              <w:t xml:space="preserve">Sehová</w:t>
            </w:r>
          </w:p>
        </w:tc>
      </w:tr>
      <w:tr>
        <w:trPr/>
        <w:tc>
          <w:tcPr>
            <w:tcW w:w="11000" w:type="dxa"/>
            <w:vAlign w:val="center"/>
            <w:noWrap/>
          </w:tcPr>
          <w:p>
            <w:pPr/>
            <w:r>
              <w:rPr/>
              <w:t xml:space="preserve">nincs</w:t>
            </w:r>
          </w:p>
        </w:tc>
      </w:tr>
      <w:tr>
        <w:trPr/>
        <w:tc>
          <w:tcPr>
            <w:tcW w:w="11000" w:type="dxa"/>
            <w:vAlign w:val="center"/>
            <w:noWrap/>
          </w:tcPr>
          <w:p>
            <w:pPr/>
            <w:r>
              <w:rPr/>
              <w:t xml:space="preserve">A járdák mentén</w:t>
            </w:r>
          </w:p>
        </w:tc>
      </w:tr>
      <w:tr>
        <w:trPr/>
        <w:tc>
          <w:tcPr>
            <w:tcW w:w="11000" w:type="dxa"/>
            <w:vAlign w:val="center"/>
            <w:noWrap/>
          </w:tcPr>
          <w:p>
            <w:pPr/>
            <w:r>
              <w:rPr/>
              <w:t xml:space="preserve">Erre a helyekre sehova</w:t>
            </w:r>
          </w:p>
        </w:tc>
      </w:tr>
      <w:tr>
        <w:trPr/>
        <w:tc>
          <w:tcPr>
            <w:tcW w:w="11000" w:type="dxa"/>
            <w:vAlign w:val="center"/>
            <w:noWrap/>
          </w:tcPr>
          <w:p>
            <w:pPr/>
            <w:r>
              <w:rPr/>
              <w:t xml:space="preserve">Pl. Arany János utcai lakótelepen.</w:t>
            </w:r>
          </w:p>
        </w:tc>
      </w:tr>
      <w:tr>
        <w:trPr/>
        <w:tc>
          <w:tcPr>
            <w:tcW w:w="11000" w:type="dxa"/>
            <w:vAlign w:val="center"/>
            <w:noWrap/>
          </w:tcPr>
          <w:p>
            <w:pPr/>
            <w:r>
              <w:rPr/>
              <w:t xml:space="preserve">-</w:t>
            </w:r>
          </w:p>
        </w:tc>
      </w:tr>
      <w:tr>
        <w:trPr/>
        <w:tc>
          <w:tcPr>
            <w:tcW w:w="11000" w:type="dxa"/>
            <w:vAlign w:val="center"/>
            <w:noWrap/>
          </w:tcPr>
          <w:p>
            <w:pPr/>
            <w:r>
              <w:rPr/>
              <w:t xml:space="preserve">Fák alá, a napfény, eső miatt</w:t>
            </w:r>
          </w:p>
        </w:tc>
      </w:tr>
      <w:tr>
        <w:trPr/>
        <w:tc>
          <w:tcPr>
            <w:tcW w:w="11000" w:type="dxa"/>
            <w:vAlign w:val="center"/>
            <w:noWrap/>
          </w:tcPr>
          <w:p>
            <w:pPr/>
            <w:r>
              <w:rPr/>
              <w:t xml:space="preserve">látványszökőkút és USB-s okospadok szükségtelennek tűnnek. Könnyen lelakják őket és sokba kerül a karbantartásuk, inkább egyszerűségre törekednék.</w:t>
            </w:r>
          </w:p>
        </w:tc>
      </w:tr>
      <w:tr>
        <w:trPr/>
        <w:tc>
          <w:tcPr>
            <w:tcW w:w="11000" w:type="dxa"/>
            <w:vAlign w:val="center"/>
            <w:noWrap/>
          </w:tcPr>
          <w:p>
            <w:pPr/>
            <w:r>
              <w:rPr/>
              <w:t xml:space="preserve">Szerintem a mostani ülőfelületek helyzete optimális, továbbá ide lehetne elhelyezni esetleg egy szabadtéri mászófalat az iskolások miatt is.</w:t>
            </w:r>
          </w:p>
        </w:tc>
      </w:tr>
      <w:tr>
        <w:trPr/>
        <w:tc>
          <w:tcPr>
            <w:tcW w:w="11000" w:type="dxa"/>
            <w:vAlign w:val="center"/>
            <w:noWrap/>
          </w:tcPr>
          <w:p>
            <w:pPr/>
            <w:r>
              <w:rPr/>
              <w:t xml:space="preserve">szökőkút köré, árnyékot adó lombos fák alá</w:t>
            </w:r>
          </w:p>
        </w:tc>
      </w:tr>
      <w:tr>
        <w:trPr/>
        <w:tc>
          <w:tcPr>
            <w:tcW w:w="11000" w:type="dxa"/>
            <w:vAlign w:val="center"/>
            <w:noWrap/>
          </w:tcPr>
          <w:p>
            <w:pPr/>
            <w:r>
              <w:rPr/>
              <w:t xml:space="preserve">Itt nem az ülőbútor a lényeg, kb. 1,5 év múlva ér oda a tervezés. A közlekedést/parkolást kell jól és rendszerben átgondolni, mert az Oroszlános udvar előtti útszakasz baromira balesetveszélyes minden napszakban, ha megszűnik a posta melletti kijárat és csak az aluljáró vagy az iparosház felé lehet onnan kijönni, az 2 balesetveszélyes csomópont. Sok szakértő mondta már, hogy nem szabadott volna körforgalmat építeni a Tóth Józsefen, mert minden reggel arra járok, iszonyat forgalmat generál. A villamost kellett volna tovább kivinni és kb. a felüljárótól a Hárosig a Fővárossal kooperációban kellett volna átgondoltan, korszerűen újragombolni a közlekedést. Ez egy látványos, drága beruházás, de véleményem szerint forgalomtecnikai hibáktól hemzseg és a szalagátvágás után a mindennapokban csak szívni fogunk vele. Sokat.</w:t>
            </w:r>
          </w:p>
        </w:tc>
      </w:tr>
      <w:tr>
        <w:trPr/>
        <w:tc>
          <w:tcPr>
            <w:tcW w:w="11000" w:type="dxa"/>
            <w:vAlign w:val="center"/>
            <w:noWrap/>
          </w:tcPr>
          <w:p>
            <w:pPr/>
            <w:r>
              <w:rPr/>
              <w:t xml:space="preserve">Nincs</w:t>
            </w:r>
          </w:p>
        </w:tc>
      </w:tr>
      <w:tr>
        <w:trPr/>
        <w:tc>
          <w:tcPr>
            <w:tcW w:w="11000" w:type="dxa"/>
            <w:vAlign w:val="center"/>
            <w:noWrap/>
          </w:tcPr>
          <w:p>
            <w:pPr/>
            <w:r>
              <w:rPr/>
              <w:t xml:space="preserve">Rendelőintézet közelében, Patika közelében, villamos megállóban.</w:t>
            </w:r>
          </w:p>
        </w:tc>
      </w:tr>
      <w:tr>
        <w:trPr/>
        <w:tc>
          <w:tcPr>
            <w:tcW w:w="11000" w:type="dxa"/>
            <w:vAlign w:val="center"/>
            <w:noWrap/>
          </w:tcPr>
          <w:p>
            <w:pPr/>
            <w:r>
              <w:rPr/>
              <w:t xml:space="preserve">Árnyékban</w:t>
            </w:r>
          </w:p>
        </w:tc>
      </w:tr>
      <w:tr>
        <w:trPr/>
        <w:tc>
          <w:tcPr>
            <w:tcW w:w="11000" w:type="dxa"/>
            <w:vAlign w:val="center"/>
            <w:noWrap/>
          </w:tcPr>
          <w:p>
            <w:pPr/>
            <w:r>
              <w:rPr/>
              <w:t xml:space="preserve">A fák árnyékába</w:t>
            </w:r>
          </w:p>
        </w:tc>
      </w:tr>
      <w:tr>
        <w:trPr/>
        <w:tc>
          <w:tcPr>
            <w:tcW w:w="11000" w:type="dxa"/>
            <w:vAlign w:val="center"/>
            <w:noWrap/>
          </w:tcPr>
          <w:p>
            <w:pPr/>
            <w:r>
              <w:rPr/>
              <w:t xml:space="preserve">2szer kell ugyanazokra a kérdésekre válaszolni?</w:t>
            </w:r>
          </w:p>
        </w:tc>
      </w:tr>
      <w:tr>
        <w:trPr/>
        <w:tc>
          <w:tcPr>
            <w:tcW w:w="11000" w:type="dxa"/>
            <w:vAlign w:val="center"/>
            <w:noWrap/>
          </w:tcPr>
          <w:p>
            <w:pPr/>
            <w:r>
              <w:rPr/>
              <w:t xml:space="preserve">Sajnos a hajléktalanok használnák a padokat. A piac előtti téren most is ők ülnek a padokon.</w:t>
            </w:r>
          </w:p>
        </w:tc>
      </w:tr>
      <w:tr>
        <w:trPr/>
        <w:tc>
          <w:tcPr>
            <w:tcW w:w="11000" w:type="dxa"/>
            <w:vAlign w:val="center"/>
            <w:noWrap/>
          </w:tcPr>
          <w:p>
            <w:pPr/>
            <w:r>
              <w:rPr/>
              <w:t xml:space="preserve">Az iskola (és a nevelési tanácsadó) elé mindenképp (várni a gyerekeket - eddig is kértük, mint szülők). Rendelő, gyógszertár közelében is, de ott most van (kérdés marad-e)
A tereken én sok padot terveznék, főleg árnyékba.</w:t>
            </w:r>
          </w:p>
        </w:tc>
      </w:tr>
      <w:tr>
        <w:trPr/>
        <w:tc>
          <w:tcPr>
            <w:tcW w:w="11000" w:type="dxa"/>
            <w:vAlign w:val="center"/>
            <w:noWrap/>
          </w:tcPr>
          <w:p>
            <w:pPr/>
            <w:r>
              <w:rPr/>
              <w:t xml:space="preserve">Városház tér</w:t>
            </w:r>
          </w:p>
        </w:tc>
      </w:tr>
      <w:tr>
        <w:trPr/>
        <w:tc>
          <w:tcPr>
            <w:tcW w:w="11000" w:type="dxa"/>
            <w:vAlign w:val="center"/>
            <w:noWrap/>
          </w:tcPr>
          <w:p>
            <w:pPr/>
            <w:r>
              <w:rPr/>
              <w:t xml:space="preserve">Sok</w:t>
            </w:r>
          </w:p>
        </w:tc>
      </w:tr>
      <w:tr>
        <w:trPr/>
        <w:tc>
          <w:tcPr>
            <w:tcW w:w="11000" w:type="dxa"/>
            <w:vAlign w:val="center"/>
            <w:noWrap/>
          </w:tcPr>
          <w:p>
            <w:pPr/>
            <w:r>
              <w:rPr/>
              <w:t xml:space="preserve">Kerékpáros pihenő mellé</w:t>
            </w:r>
          </w:p>
        </w:tc>
      </w:tr>
      <w:tr>
        <w:trPr/>
        <w:tc>
          <w:tcPr>
            <w:tcW w:w="11000" w:type="dxa"/>
            <w:vAlign w:val="center"/>
            <w:noWrap/>
          </w:tcPr>
          <w:p>
            <w:pPr/>
            <w:r>
              <w:rPr/>
              <w:t xml:space="preserve">A zöldfelületek közelében</w:t>
            </w:r>
          </w:p>
        </w:tc>
      </w:tr>
      <w:tr>
        <w:trPr/>
        <w:tc>
          <w:tcPr>
            <w:tcW w:w="11000" w:type="dxa"/>
            <w:vAlign w:val="center"/>
            <w:noWrap/>
          </w:tcPr>
          <w:p>
            <w:pPr/>
            <w:r>
              <w:rPr/>
              <w:t xml:space="preserve">Nincs</w:t>
            </w:r>
          </w:p>
        </w:tc>
      </w:tr>
    </w:tbl>
    <w:p/>
    <w:p>
      <w:pPr/>
      <w:r>
        <w:rPr>
          <w:sz w:val="24"/>
          <w:szCs w:val="24"/>
          <w:i w:val="1"/>
          <w:iCs w:val="1"/>
        </w:rPr>
        <w:t xml:space="preserve">További 24 válasz megtekintéséhez válassza az: "Excel CSV teljes" exportálási típust.</w:t>
      </w:r>
    </w:p>
    <w:p/>
    <w:p>
      <w:pPr>
        <w:jc w:val="right"/>
      </w:pPr>
      <w:r>
        <w:rPr>
          <w:sz w:val="24"/>
          <w:szCs w:val="24"/>
          <w:b w:val="1"/>
          <w:bCs w:val="1"/>
        </w:rPr>
        <w:t xml:space="preserve">49</w:t>
      </w:r>
      <w:r>
        <w:rPr>
          <w:sz w:val="24"/>
          <w:szCs w:val="24"/>
        </w:rPr>
        <w:t xml:space="preserve"> kitöltőtől összesen </w:t>
      </w:r>
      <w:r>
        <w:rPr>
          <w:sz w:val="24"/>
          <w:szCs w:val="24"/>
          <w:b w:val="1"/>
          <w:bCs w:val="1"/>
        </w:rPr>
        <w:t xml:space="preserve">49</w:t>
      </w:r>
      <w:r>
        <w:rPr>
          <w:sz w:val="24"/>
          <w:szCs w:val="24"/>
        </w:rPr>
        <w:t xml:space="preserve"> válasz</w:t>
      </w:r>
    </w:p>
    <w:p>
      <w:pPr>
        <w:sectPr>
          <w:pgSz w:orient="portrait" w:w="11905.511811023622" w:h="16837.79527559055"/>
          <w:pgMar w:top="600" w:right="600" w:bottom="600" w:left="600" w:header="720" w:footer="720" w:gutter="0"/>
          <w:cols w:num="1" w:space="720"/>
        </w:sectPr>
      </w:pPr>
    </w:p>
    <w:p>
      <w:pPr>
        <w:pStyle w:val="Heading1"/>
      </w:pPr>
      <w:bookmarkStart w:id="21" w:name="_Toc21"/>
      <w:r>
        <w:t>Mennyire fontos Önnek, hogy minél több természetközeli virágos jellegű évelő és díszfüves zöldfelület legyen a területen?</w:t>
      </w:r>
      <w:bookmarkEnd w:id="21"/>
    </w:p>
    <w:tbl>
      <w:tblGrid>
        <w:gridCol w:w="9000" w:type="dxa"/>
        <w:gridCol w:w="900" w:type="dxa"/>
        <w:gridCol w:w="900" w:type="dxa"/>
      </w:tblGrid>
      <w:tblPr>
        <w:tblStyle w:val="StatTable"/>
      </w:tblPr>
      <w:tr>
        <w:trPr/>
        <w:tc>
          <w:tcPr>
            <w:tcW w:w="9000" w:type="dxa"/>
            <w:vAlign w:val="center"/>
            <w:noWrap/>
          </w:tcPr>
          <w:p>
            <w:pPr/>
            <w:r>
              <w:rPr>
                <w:sz w:val="24"/>
                <w:szCs w:val="24"/>
                <w:b w:val="1"/>
                <w:bCs w:val="1"/>
              </w:rPr>
              <w:t xml:space="preserve">Válasz</w:t>
            </w:r>
          </w:p>
        </w:tc>
        <w:tc>
          <w:tcPr>
            <w:tcW w:w="900" w:type="dxa"/>
            <w:vAlign w:val="center"/>
            <w:noWrap/>
          </w:tcPr>
          <w:p>
            <w:pPr>
              <w:jc w:val="center"/>
            </w:pPr>
            <w:r>
              <w:rPr>
                <w:sz w:val="24"/>
                <w:szCs w:val="24"/>
                <w:b w:val="1"/>
                <w:bCs w:val="1"/>
              </w:rPr>
              <w:t xml:space="preserve">db</w:t>
            </w:r>
          </w:p>
        </w:tc>
        <w:tc>
          <w:tcPr>
            <w:tcW w:w="900" w:type="dxa"/>
            <w:vAlign w:val="center"/>
            <w:noWrap/>
          </w:tcPr>
          <w:p>
            <w:pPr>
              <w:jc w:val="center"/>
            </w:pPr>
            <w:r>
              <w:rPr>
                <w:sz w:val="24"/>
                <w:szCs w:val="24"/>
                <w:b w:val="1"/>
                <w:bCs w:val="1"/>
              </w:rPr>
              <w:t xml:space="preserve">%</w:t>
            </w:r>
          </w:p>
        </w:tc>
      </w:tr>
      <w:tr>
        <w:trPr/>
        <w:tc>
          <w:tcPr>
            <w:tcW w:w="9000" w:type="dxa"/>
            <w:vAlign w:val="center"/>
            <w:noWrap/>
          </w:tcPr>
          <w:p>
            <w:pPr/>
            <w:r>
              <w:rPr>
                <w:sz w:val="24"/>
                <w:szCs w:val="24"/>
              </w:rPr>
              <w:t xml:space="preserve">1</w:t>
            </w:r>
          </w:p>
        </w:tc>
        <w:tc>
          <w:tcPr>
            <w:tcW w:w="900" w:type="dxa"/>
            <w:vAlign w:val="center"/>
            <w:noWrap/>
          </w:tcPr>
          <w:p>
            <w:pPr>
              <w:jc w:val="center"/>
            </w:pPr>
            <w:r>
              <w:rPr>
                <w:sz w:val="24"/>
                <w:szCs w:val="24"/>
              </w:rPr>
              <w:t xml:space="preserve">13</w:t>
            </w:r>
          </w:p>
        </w:tc>
        <w:tc>
          <w:tcPr>
            <w:tcW w:w="900" w:type="dxa"/>
            <w:vAlign w:val="center"/>
            <w:noWrap/>
          </w:tcPr>
          <w:p>
            <w:pPr>
              <w:jc w:val="center"/>
            </w:pPr>
            <w:r>
              <w:rPr>
                <w:sz w:val="24"/>
                <w:szCs w:val="24"/>
              </w:rPr>
              <w:t xml:space="preserve">3.1%</w:t>
            </w:r>
          </w:p>
        </w:tc>
      </w:tr>
      <w:tr>
        <w:trPr/>
        <w:tc>
          <w:tcPr>
            <w:tcW w:w="9000" w:type="dxa"/>
            <w:vAlign w:val="center"/>
            <w:noWrap/>
          </w:tcPr>
          <w:p>
            <w:pPr/>
            <w:r>
              <w:rPr>
                <w:sz w:val="24"/>
                <w:szCs w:val="24"/>
              </w:rPr>
              <w:t xml:space="preserve">2</w:t>
            </w:r>
          </w:p>
        </w:tc>
        <w:tc>
          <w:tcPr>
            <w:tcW w:w="900" w:type="dxa"/>
            <w:vAlign w:val="center"/>
            <w:noWrap/>
          </w:tcPr>
          <w:p>
            <w:pPr>
              <w:jc w:val="center"/>
            </w:pPr>
            <w:r>
              <w:rPr>
                <w:sz w:val="24"/>
                <w:szCs w:val="24"/>
              </w:rPr>
              <w:t xml:space="preserve">5</w:t>
            </w:r>
          </w:p>
        </w:tc>
        <w:tc>
          <w:tcPr>
            <w:tcW w:w="900" w:type="dxa"/>
            <w:vAlign w:val="center"/>
            <w:noWrap/>
          </w:tcPr>
          <w:p>
            <w:pPr>
              <w:jc w:val="center"/>
            </w:pPr>
            <w:r>
              <w:rPr>
                <w:sz w:val="24"/>
                <w:szCs w:val="24"/>
              </w:rPr>
              <w:t xml:space="preserve">1.2%</w:t>
            </w:r>
          </w:p>
        </w:tc>
      </w:tr>
      <w:tr>
        <w:trPr/>
        <w:tc>
          <w:tcPr>
            <w:tcW w:w="9000" w:type="dxa"/>
            <w:vAlign w:val="center"/>
            <w:noWrap/>
          </w:tcPr>
          <w:p>
            <w:pPr/>
            <w:r>
              <w:rPr>
                <w:sz w:val="24"/>
                <w:szCs w:val="24"/>
              </w:rPr>
              <w:t xml:space="preserve">3</w:t>
            </w:r>
          </w:p>
        </w:tc>
        <w:tc>
          <w:tcPr>
            <w:tcW w:w="900" w:type="dxa"/>
            <w:vAlign w:val="center"/>
            <w:noWrap/>
          </w:tcPr>
          <w:p>
            <w:pPr>
              <w:jc w:val="center"/>
            </w:pPr>
            <w:r>
              <w:rPr>
                <w:sz w:val="24"/>
                <w:szCs w:val="24"/>
              </w:rPr>
              <w:t xml:space="preserve">25</w:t>
            </w:r>
          </w:p>
        </w:tc>
        <w:tc>
          <w:tcPr>
            <w:tcW w:w="900" w:type="dxa"/>
            <w:vAlign w:val="center"/>
            <w:noWrap/>
          </w:tcPr>
          <w:p>
            <w:pPr>
              <w:jc w:val="center"/>
            </w:pPr>
            <w:r>
              <w:rPr>
                <w:sz w:val="24"/>
                <w:szCs w:val="24"/>
              </w:rPr>
              <w:t xml:space="preserve">5.9%</w:t>
            </w:r>
          </w:p>
        </w:tc>
      </w:tr>
      <w:tr>
        <w:trPr/>
        <w:tc>
          <w:tcPr>
            <w:tcW w:w="9000" w:type="dxa"/>
            <w:vAlign w:val="center"/>
            <w:noWrap/>
          </w:tcPr>
          <w:p>
            <w:pPr/>
            <w:r>
              <w:rPr>
                <w:sz w:val="24"/>
                <w:szCs w:val="24"/>
              </w:rPr>
              <w:t xml:space="preserve">4</w:t>
            </w:r>
          </w:p>
        </w:tc>
        <w:tc>
          <w:tcPr>
            <w:tcW w:w="900" w:type="dxa"/>
            <w:vAlign w:val="center"/>
            <w:noWrap/>
          </w:tcPr>
          <w:p>
            <w:pPr>
              <w:jc w:val="center"/>
            </w:pPr>
            <w:r>
              <w:rPr>
                <w:sz w:val="24"/>
                <w:szCs w:val="24"/>
              </w:rPr>
              <w:t xml:space="preserve">58</w:t>
            </w:r>
          </w:p>
        </w:tc>
        <w:tc>
          <w:tcPr>
            <w:tcW w:w="900" w:type="dxa"/>
            <w:vAlign w:val="center"/>
            <w:noWrap/>
          </w:tcPr>
          <w:p>
            <w:pPr>
              <w:jc w:val="center"/>
            </w:pPr>
            <w:r>
              <w:rPr>
                <w:sz w:val="24"/>
                <w:szCs w:val="24"/>
              </w:rPr>
              <w:t xml:space="preserve">13.7%</w:t>
            </w:r>
          </w:p>
        </w:tc>
      </w:tr>
      <w:tr>
        <w:trPr/>
        <w:tc>
          <w:tcPr>
            <w:tcW w:w="9000" w:type="dxa"/>
            <w:vAlign w:val="center"/>
            <w:noWrap/>
          </w:tcPr>
          <w:p>
            <w:pPr/>
            <w:r>
              <w:rPr>
                <w:sz w:val="24"/>
                <w:szCs w:val="24"/>
              </w:rPr>
              <w:t xml:space="preserve">5</w:t>
            </w:r>
          </w:p>
        </w:tc>
        <w:tc>
          <w:tcPr>
            <w:tcW w:w="900" w:type="dxa"/>
            <w:vAlign w:val="center"/>
            <w:noWrap/>
          </w:tcPr>
          <w:p>
            <w:pPr>
              <w:jc w:val="center"/>
            </w:pPr>
            <w:r>
              <w:rPr>
                <w:sz w:val="24"/>
                <w:szCs w:val="24"/>
              </w:rPr>
              <w:t xml:space="preserve">322</w:t>
            </w:r>
          </w:p>
        </w:tc>
        <w:tc>
          <w:tcPr>
            <w:tcW w:w="900" w:type="dxa"/>
            <w:vAlign w:val="center"/>
            <w:noWrap/>
          </w:tcPr>
          <w:p>
            <w:pPr>
              <w:jc w:val="center"/>
            </w:pPr>
            <w:r>
              <w:rPr>
                <w:sz w:val="24"/>
                <w:szCs w:val="24"/>
              </w:rPr>
              <w:t xml:space="preserve">76.1%</w:t>
            </w:r>
          </w:p>
        </w:tc>
      </w:tr>
    </w:tbl>
    <w:p/>
    <w:p>
      <w:pPr>
        <w:jc w:val="right"/>
      </w:pPr>
      <w:r>
        <w:rPr>
          <w:sz w:val="24"/>
          <w:szCs w:val="24"/>
          <w:b w:val="1"/>
          <w:bCs w:val="1"/>
        </w:rPr>
        <w:t xml:space="preserve">423</w:t>
      </w:r>
      <w:r>
        <w:rPr>
          <w:sz w:val="24"/>
          <w:szCs w:val="24"/>
        </w:rPr>
        <w:t xml:space="preserve"> kitöltőtől összesen </w:t>
      </w:r>
      <w:r>
        <w:rPr>
          <w:sz w:val="24"/>
          <w:szCs w:val="24"/>
          <w:b w:val="1"/>
          <w:bCs w:val="1"/>
        </w:rPr>
        <w:t xml:space="preserve">423</w:t>
      </w:r>
      <w:r>
        <w:rPr>
          <w:sz w:val="24"/>
          <w:szCs w:val="24"/>
        </w:rPr>
        <w:t xml:space="preserve"> válasz</w:t>
      </w:r>
    </w:p>
    <w:p>
      <w:r>
        <w:drawing>
          <wp:inline>
            <wp:extent cx="6858000" cy="5943600"/>
            <wp:docPr id="21" name="Chart21"/>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pPr>
        <w:sectPr>
          <w:pgSz w:orient="portrait" w:w="11905.511811023622" w:h="16837.79527559055"/>
          <w:pgMar w:top="600" w:right="600" w:bottom="600" w:left="600" w:header="720" w:footer="720" w:gutter="0"/>
          <w:cols w:num="1" w:space="720"/>
        </w:sectPr>
      </w:pPr>
    </w:p>
    <w:p>
      <w:pPr>
        <w:pStyle w:val="Heading1"/>
      </w:pPr>
      <w:bookmarkStart w:id="22" w:name="_Toc22"/>
      <w:r>
        <w:t>Mennyire fontos Önnek, hogy egynyári virágos zöldfelület is legyen?</w:t>
      </w:r>
      <w:bookmarkEnd w:id="22"/>
    </w:p>
    <w:tbl>
      <w:tblGrid>
        <w:gridCol w:w="9000" w:type="dxa"/>
        <w:gridCol w:w="900" w:type="dxa"/>
        <w:gridCol w:w="900" w:type="dxa"/>
      </w:tblGrid>
      <w:tblPr>
        <w:tblStyle w:val="StatTable"/>
      </w:tblPr>
      <w:tr>
        <w:trPr/>
        <w:tc>
          <w:tcPr>
            <w:tcW w:w="9000" w:type="dxa"/>
            <w:vAlign w:val="center"/>
            <w:noWrap/>
          </w:tcPr>
          <w:p>
            <w:pPr/>
            <w:r>
              <w:rPr>
                <w:sz w:val="24"/>
                <w:szCs w:val="24"/>
                <w:b w:val="1"/>
                <w:bCs w:val="1"/>
              </w:rPr>
              <w:t xml:space="preserve">Válasz</w:t>
            </w:r>
          </w:p>
        </w:tc>
        <w:tc>
          <w:tcPr>
            <w:tcW w:w="900" w:type="dxa"/>
            <w:vAlign w:val="center"/>
            <w:noWrap/>
          </w:tcPr>
          <w:p>
            <w:pPr>
              <w:jc w:val="center"/>
            </w:pPr>
            <w:r>
              <w:rPr>
                <w:sz w:val="24"/>
                <w:szCs w:val="24"/>
                <w:b w:val="1"/>
                <w:bCs w:val="1"/>
              </w:rPr>
              <w:t xml:space="preserve">db</w:t>
            </w:r>
          </w:p>
        </w:tc>
        <w:tc>
          <w:tcPr>
            <w:tcW w:w="900" w:type="dxa"/>
            <w:vAlign w:val="center"/>
            <w:noWrap/>
          </w:tcPr>
          <w:p>
            <w:pPr>
              <w:jc w:val="center"/>
            </w:pPr>
            <w:r>
              <w:rPr>
                <w:sz w:val="24"/>
                <w:szCs w:val="24"/>
                <w:b w:val="1"/>
                <w:bCs w:val="1"/>
              </w:rPr>
              <w:t xml:space="preserve">%</w:t>
            </w:r>
          </w:p>
        </w:tc>
      </w:tr>
      <w:tr>
        <w:trPr/>
        <w:tc>
          <w:tcPr>
            <w:tcW w:w="9000" w:type="dxa"/>
            <w:vAlign w:val="center"/>
            <w:noWrap/>
          </w:tcPr>
          <w:p>
            <w:pPr/>
            <w:r>
              <w:rPr>
                <w:sz w:val="24"/>
                <w:szCs w:val="24"/>
              </w:rPr>
              <w:t xml:space="preserve">1</w:t>
            </w:r>
          </w:p>
        </w:tc>
        <w:tc>
          <w:tcPr>
            <w:tcW w:w="900" w:type="dxa"/>
            <w:vAlign w:val="center"/>
            <w:noWrap/>
          </w:tcPr>
          <w:p>
            <w:pPr>
              <w:jc w:val="center"/>
            </w:pPr>
            <w:r>
              <w:rPr>
                <w:sz w:val="24"/>
                <w:szCs w:val="24"/>
              </w:rPr>
              <w:t xml:space="preserve">38</w:t>
            </w:r>
          </w:p>
        </w:tc>
        <w:tc>
          <w:tcPr>
            <w:tcW w:w="900" w:type="dxa"/>
            <w:vAlign w:val="center"/>
            <w:noWrap/>
          </w:tcPr>
          <w:p>
            <w:pPr>
              <w:jc w:val="center"/>
            </w:pPr>
            <w:r>
              <w:rPr>
                <w:sz w:val="24"/>
                <w:szCs w:val="24"/>
              </w:rPr>
              <w:t xml:space="preserve">9%</w:t>
            </w:r>
          </w:p>
        </w:tc>
      </w:tr>
      <w:tr>
        <w:trPr/>
        <w:tc>
          <w:tcPr>
            <w:tcW w:w="9000" w:type="dxa"/>
            <w:vAlign w:val="center"/>
            <w:noWrap/>
          </w:tcPr>
          <w:p>
            <w:pPr/>
            <w:r>
              <w:rPr>
                <w:sz w:val="24"/>
                <w:szCs w:val="24"/>
              </w:rPr>
              <w:t xml:space="preserve">2</w:t>
            </w:r>
          </w:p>
        </w:tc>
        <w:tc>
          <w:tcPr>
            <w:tcW w:w="900" w:type="dxa"/>
            <w:vAlign w:val="center"/>
            <w:noWrap/>
          </w:tcPr>
          <w:p>
            <w:pPr>
              <w:jc w:val="center"/>
            </w:pPr>
            <w:r>
              <w:rPr>
                <w:sz w:val="24"/>
                <w:szCs w:val="24"/>
              </w:rPr>
              <w:t xml:space="preserve">31</w:t>
            </w:r>
          </w:p>
        </w:tc>
        <w:tc>
          <w:tcPr>
            <w:tcW w:w="900" w:type="dxa"/>
            <w:vAlign w:val="center"/>
            <w:noWrap/>
          </w:tcPr>
          <w:p>
            <w:pPr>
              <w:jc w:val="center"/>
            </w:pPr>
            <w:r>
              <w:rPr>
                <w:sz w:val="24"/>
                <w:szCs w:val="24"/>
              </w:rPr>
              <w:t xml:space="preserve">7.3%</w:t>
            </w:r>
          </w:p>
        </w:tc>
      </w:tr>
      <w:tr>
        <w:trPr/>
        <w:tc>
          <w:tcPr>
            <w:tcW w:w="9000" w:type="dxa"/>
            <w:vAlign w:val="center"/>
            <w:noWrap/>
          </w:tcPr>
          <w:p>
            <w:pPr/>
            <w:r>
              <w:rPr>
                <w:sz w:val="24"/>
                <w:szCs w:val="24"/>
              </w:rPr>
              <w:t xml:space="preserve">3</w:t>
            </w:r>
          </w:p>
        </w:tc>
        <w:tc>
          <w:tcPr>
            <w:tcW w:w="900" w:type="dxa"/>
            <w:vAlign w:val="center"/>
            <w:noWrap/>
          </w:tcPr>
          <w:p>
            <w:pPr>
              <w:jc w:val="center"/>
            </w:pPr>
            <w:r>
              <w:rPr>
                <w:sz w:val="24"/>
                <w:szCs w:val="24"/>
              </w:rPr>
              <w:t xml:space="preserve">78</w:t>
            </w:r>
          </w:p>
        </w:tc>
        <w:tc>
          <w:tcPr>
            <w:tcW w:w="900" w:type="dxa"/>
            <w:vAlign w:val="center"/>
            <w:noWrap/>
          </w:tcPr>
          <w:p>
            <w:pPr>
              <w:jc w:val="center"/>
            </w:pPr>
            <w:r>
              <w:rPr>
                <w:sz w:val="24"/>
                <w:szCs w:val="24"/>
              </w:rPr>
              <w:t xml:space="preserve">18.4%</w:t>
            </w:r>
          </w:p>
        </w:tc>
      </w:tr>
      <w:tr>
        <w:trPr/>
        <w:tc>
          <w:tcPr>
            <w:tcW w:w="9000" w:type="dxa"/>
            <w:vAlign w:val="center"/>
            <w:noWrap/>
          </w:tcPr>
          <w:p>
            <w:pPr/>
            <w:r>
              <w:rPr>
                <w:sz w:val="24"/>
                <w:szCs w:val="24"/>
              </w:rPr>
              <w:t xml:space="preserve">4</w:t>
            </w:r>
          </w:p>
        </w:tc>
        <w:tc>
          <w:tcPr>
            <w:tcW w:w="900" w:type="dxa"/>
            <w:vAlign w:val="center"/>
            <w:noWrap/>
          </w:tcPr>
          <w:p>
            <w:pPr>
              <w:jc w:val="center"/>
            </w:pPr>
            <w:r>
              <w:rPr>
                <w:sz w:val="24"/>
                <w:szCs w:val="24"/>
              </w:rPr>
              <w:t xml:space="preserve">88</w:t>
            </w:r>
          </w:p>
        </w:tc>
        <w:tc>
          <w:tcPr>
            <w:tcW w:w="900" w:type="dxa"/>
            <w:vAlign w:val="center"/>
            <w:noWrap/>
          </w:tcPr>
          <w:p>
            <w:pPr>
              <w:jc w:val="center"/>
            </w:pPr>
            <w:r>
              <w:rPr>
                <w:sz w:val="24"/>
                <w:szCs w:val="24"/>
              </w:rPr>
              <w:t xml:space="preserve">20.8%</w:t>
            </w:r>
          </w:p>
        </w:tc>
      </w:tr>
      <w:tr>
        <w:trPr/>
        <w:tc>
          <w:tcPr>
            <w:tcW w:w="9000" w:type="dxa"/>
            <w:vAlign w:val="center"/>
            <w:noWrap/>
          </w:tcPr>
          <w:p>
            <w:pPr/>
            <w:r>
              <w:rPr>
                <w:sz w:val="24"/>
                <w:szCs w:val="24"/>
              </w:rPr>
              <w:t xml:space="preserve">5</w:t>
            </w:r>
          </w:p>
        </w:tc>
        <w:tc>
          <w:tcPr>
            <w:tcW w:w="900" w:type="dxa"/>
            <w:vAlign w:val="center"/>
            <w:noWrap/>
          </w:tcPr>
          <w:p>
            <w:pPr>
              <w:jc w:val="center"/>
            </w:pPr>
            <w:r>
              <w:rPr>
                <w:sz w:val="24"/>
                <w:szCs w:val="24"/>
              </w:rPr>
              <w:t xml:space="preserve">188</w:t>
            </w:r>
          </w:p>
        </w:tc>
        <w:tc>
          <w:tcPr>
            <w:tcW w:w="900" w:type="dxa"/>
            <w:vAlign w:val="center"/>
            <w:noWrap/>
          </w:tcPr>
          <w:p>
            <w:pPr>
              <w:jc w:val="center"/>
            </w:pPr>
            <w:r>
              <w:rPr>
                <w:sz w:val="24"/>
                <w:szCs w:val="24"/>
              </w:rPr>
              <w:t xml:space="preserve">44.4%</w:t>
            </w:r>
          </w:p>
        </w:tc>
      </w:tr>
    </w:tbl>
    <w:p/>
    <w:p>
      <w:pPr>
        <w:jc w:val="right"/>
      </w:pPr>
      <w:r>
        <w:rPr>
          <w:sz w:val="24"/>
          <w:szCs w:val="24"/>
          <w:b w:val="1"/>
          <w:bCs w:val="1"/>
        </w:rPr>
        <w:t xml:space="preserve">423</w:t>
      </w:r>
      <w:r>
        <w:rPr>
          <w:sz w:val="24"/>
          <w:szCs w:val="24"/>
        </w:rPr>
        <w:t xml:space="preserve"> kitöltőtől összesen </w:t>
      </w:r>
      <w:r>
        <w:rPr>
          <w:sz w:val="24"/>
          <w:szCs w:val="24"/>
          <w:b w:val="1"/>
          <w:bCs w:val="1"/>
        </w:rPr>
        <w:t xml:space="preserve">423</w:t>
      </w:r>
      <w:r>
        <w:rPr>
          <w:sz w:val="24"/>
          <w:szCs w:val="24"/>
        </w:rPr>
        <w:t xml:space="preserve"> válasz</w:t>
      </w:r>
    </w:p>
    <w:p>
      <w:r>
        <w:drawing>
          <wp:inline>
            <wp:extent cx="6858000" cy="5943600"/>
            <wp:docPr id="22" name="Chart22"/>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pPr>
        <w:sectPr>
          <w:pgSz w:orient="portrait" w:w="11905.511811023622" w:h="16837.79527559055"/>
          <w:pgMar w:top="600" w:right="600" w:bottom="600" w:left="600" w:header="720" w:footer="720" w:gutter="0"/>
          <w:cols w:num="1" w:space="720"/>
        </w:sectPr>
      </w:pPr>
    </w:p>
    <w:p>
      <w:pPr>
        <w:pStyle w:val="Heading1"/>
      </w:pPr>
      <w:bookmarkStart w:id="23" w:name="_Toc23"/>
      <w:r>
        <w:t>Milyen konkrét fafajokat, cserjéket vagy évelő növényeket javasolna, amelyek jól illenének ide?</w:t>
      </w:r>
      <w:bookmarkEnd w:id="23"/>
    </w:p>
    <w:tbl>
      <w:tblGrid>
        <w:gridCol w:w="11000" w:type="dxa"/>
      </w:tblGrid>
      <w:tblPr>
        <w:tblStyle w:val="TextTable"/>
      </w:tblPr>
      <w:tr>
        <w:trPr/>
        <w:tc>
          <w:tcPr>
            <w:tcW w:w="11000" w:type="dxa"/>
            <w:vAlign w:val="center"/>
            <w:noWrap/>
          </w:tcPr>
          <w:p>
            <w:pPr/>
            <w:r>
              <w:rPr/>
              <w:t xml:space="preserve">nem tudom</w:t>
            </w:r>
          </w:p>
        </w:tc>
      </w:tr>
      <w:tr>
        <w:trPr/>
        <w:tc>
          <w:tcPr>
            <w:tcW w:w="11000" w:type="dxa"/>
            <w:vAlign w:val="center"/>
            <w:noWrap/>
          </w:tcPr>
          <w:p>
            <w:pPr/>
            <w:r>
              <w:rPr/>
              <w:t xml:space="preserve">Kis növésű fáj</w:t>
            </w:r>
          </w:p>
        </w:tc>
      </w:tr>
      <w:tr>
        <w:trPr/>
        <w:tc>
          <w:tcPr>
            <w:tcW w:w="11000" w:type="dxa"/>
            <w:vAlign w:val="center"/>
            <w:noWrap/>
          </w:tcPr>
          <w:p>
            <w:pPr/>
            <w:r>
              <w:rPr/>
              <w:t xml:space="preserve">Semmilyet</w:t>
            </w:r>
          </w:p>
        </w:tc>
      </w:tr>
      <w:tr>
        <w:trPr/>
        <w:tc>
          <w:tcPr>
            <w:tcW w:w="11000" w:type="dxa"/>
            <w:vAlign w:val="center"/>
            <w:noWrap/>
          </w:tcPr>
          <w:p>
            <w:pPr/>
            <w:r>
              <w:rPr/>
              <w:t xml:space="preserve">nem tudom eldönteni</w:t>
            </w:r>
          </w:p>
        </w:tc>
      </w:tr>
      <w:tr>
        <w:trPr/>
        <w:tc>
          <w:tcPr>
            <w:tcW w:w="11000" w:type="dxa"/>
            <w:vAlign w:val="center"/>
            <w:noWrap/>
          </w:tcPr>
          <w:p>
            <w:pPr/>
            <w:r>
              <w:rPr/>
              <w:t xml:space="preserve">Mediterrán, hőséget és aszályt jól viselő fajok.</w:t>
            </w:r>
          </w:p>
        </w:tc>
      </w:tr>
      <w:tr>
        <w:trPr/>
        <w:tc>
          <w:tcPr>
            <w:tcW w:w="11000" w:type="dxa"/>
            <w:vAlign w:val="center"/>
            <w:noWrap/>
          </w:tcPr>
          <w:p>
            <w:pPr/>
            <w:r>
              <w:rPr/>
              <w:t xml:space="preserve">Örökzöldeket.</w:t>
            </w:r>
          </w:p>
        </w:tc>
      </w:tr>
      <w:tr>
        <w:trPr/>
        <w:tc>
          <w:tcPr>
            <w:tcW w:w="11000" w:type="dxa"/>
            <w:vAlign w:val="center"/>
            <w:noWrap/>
          </w:tcPr>
          <w:p>
            <w:pPr/>
            <w:r>
              <w:rPr/>
              <w:t xml:space="preserve">beporzóbarát növényeket</w:t>
            </w:r>
          </w:p>
        </w:tc>
      </w:tr>
      <w:tr>
        <w:trPr/>
        <w:tc>
          <w:tcPr>
            <w:tcW w:w="11000" w:type="dxa"/>
            <w:vAlign w:val="center"/>
            <w:noWrap/>
          </w:tcPr>
          <w:p>
            <w:pPr/>
            <w:r>
              <w:rPr/>
              <w:t xml:space="preserve">Fenyőfa</w:t>
            </w:r>
          </w:p>
        </w:tc>
      </w:tr>
      <w:tr>
        <w:trPr/>
        <w:tc>
          <w:tcPr>
            <w:tcW w:w="11000" w:type="dxa"/>
            <w:vAlign w:val="center"/>
            <w:noWrap/>
          </w:tcPr>
          <w:p>
            <w:pPr/>
            <w:r>
              <w:rPr/>
              <w:t xml:space="preserve">Csakis őshonos, nem invazív fajokat. Esetleg a Városháza térről nemrég kivágott szelídgesztenye pótlására 3-4db ültetése. Tisza fát is szívesen látnék, de utóbbit olyan helyre ahol 1000%, hogy sose lesz semmi építve. Ezen fák sok száz évig élnek.</w:t>
            </w:r>
          </w:p>
        </w:tc>
      </w:tr>
      <w:tr>
        <w:trPr/>
        <w:tc>
          <w:tcPr>
            <w:tcW w:w="11000" w:type="dxa"/>
            <w:vAlign w:val="center"/>
            <w:noWrap/>
          </w:tcPr>
          <w:p>
            <w:pPr/>
            <w:r>
              <w:rPr/>
              <w:t xml:space="preserve">-</w:t>
            </w:r>
          </w:p>
        </w:tc>
      </w:tr>
      <w:tr>
        <w:trPr/>
        <w:tc>
          <w:tcPr>
            <w:tcW w:w="11000" w:type="dxa"/>
            <w:vAlign w:val="center"/>
            <w:noWrap/>
          </w:tcPr>
          <w:p>
            <w:pPr/>
            <w:r>
              <w:rPr/>
              <w:t xml:space="preserve">Nagy lombos fák, levendula</w:t>
            </w:r>
          </w:p>
        </w:tc>
      </w:tr>
      <w:tr>
        <w:trPr/>
        <w:tc>
          <w:tcPr>
            <w:tcW w:w="11000" w:type="dxa"/>
            <w:vAlign w:val="center"/>
            <w:noWrap/>
          </w:tcPr>
          <w:p>
            <w:pPr/>
            <w:r>
              <w:rPr/>
              <w:t xml:space="preserve">Őshonos fák, kerület szabályozza mi kerülhet be</w:t>
            </w:r>
          </w:p>
        </w:tc>
      </w:tr>
      <w:tr>
        <w:trPr/>
        <w:tc>
          <w:tcPr>
            <w:tcW w:w="11000" w:type="dxa"/>
            <w:vAlign w:val="center"/>
            <w:noWrap/>
          </w:tcPr>
          <w:p>
            <w:pPr/>
            <w:r>
              <w:rPr/>
              <w:t xml:space="preserve">őshonos fákat_ tölgy, bükk, nyárfa, éger, forró nyarakat bíró permetezésmentes örökzöldeket, buxus félék kivételével bármit</w:t>
            </w:r>
          </w:p>
        </w:tc>
      </w:tr>
      <w:tr>
        <w:trPr/>
        <w:tc>
          <w:tcPr>
            <w:tcW w:w="11000" w:type="dxa"/>
            <w:vAlign w:val="center"/>
            <w:noWrap/>
          </w:tcPr>
          <w:p>
            <w:pPr/>
            <w:r>
              <w:rPr/>
              <w:t xml:space="preserve">Berkenye, gömbjuhar, kúpvirág, növényfuttatónnlonc</w:t>
            </w:r>
          </w:p>
        </w:tc>
      </w:tr>
      <w:tr>
        <w:trPr/>
        <w:tc>
          <w:tcPr>
            <w:tcW w:w="11000" w:type="dxa"/>
            <w:vAlign w:val="center"/>
            <w:noWrap/>
          </w:tcPr>
          <w:p>
            <w:pPr/>
            <w:r>
              <w:rPr/>
              <w:t xml:space="preserve">Juhar</w:t>
            </w:r>
          </w:p>
        </w:tc>
      </w:tr>
      <w:tr>
        <w:trPr/>
        <w:tc>
          <w:tcPr>
            <w:tcW w:w="11000" w:type="dxa"/>
            <w:vAlign w:val="center"/>
            <w:noWrap/>
          </w:tcPr>
          <w:p>
            <w:pPr/>
            <w:r>
              <w:rPr/>
              <w:t xml:space="preserve">Ez a kérdés már volt a másdik területnél. Itt is ugyanez: szalagátvágás helyett fenntartani akarjanak, mert így 5 év alatt visszaslumösödik a terület. És tisztán szakmai kérdést ne tegyenek fel laikusoknak. Ez kb. olyan, mintha a háziasszonyt kérdeznénk meg, mennyi vasalás kell az erkélylemezbe. Oooppardon, ilyen már volt, amikor leszakadt az erkély a Sörház végén, röhögött is a szakma Budafokon....</w:t>
            </w:r>
          </w:p>
        </w:tc>
      </w:tr>
      <w:tr>
        <w:trPr/>
        <w:tc>
          <w:tcPr>
            <w:tcW w:w="11000" w:type="dxa"/>
            <w:vAlign w:val="center"/>
            <w:noWrap/>
          </w:tcPr>
          <w:p>
            <w:pPr/>
            <w:r>
              <w:rPr/>
              <w:t xml:space="preserve">Babérmeggy
Berkenye</w:t>
            </w:r>
          </w:p>
        </w:tc>
      </w:tr>
      <w:tr>
        <w:trPr/>
        <w:tc>
          <w:tcPr>
            <w:tcW w:w="11000" w:type="dxa"/>
            <w:vAlign w:val="center"/>
            <w:noWrap/>
          </w:tcPr>
          <w:p>
            <w:pPr/>
            <w:r>
              <w:rPr/>
              <w:t xml:space="preserve">lila és fehér virágú tulipánfa (magnólia) is + örök zöldek</w:t>
            </w:r>
          </w:p>
        </w:tc>
      </w:tr>
      <w:tr>
        <w:trPr/>
        <w:tc>
          <w:tcPr>
            <w:tcW w:w="11000" w:type="dxa"/>
            <w:vAlign w:val="center"/>
            <w:noWrap/>
          </w:tcPr>
          <w:p>
            <w:pPr/>
            <w:r>
              <w:rPr/>
              <w:t xml:space="preserve">ne legyen allergén</w:t>
            </w:r>
          </w:p>
        </w:tc>
      </w:tr>
      <w:tr>
        <w:trPr/>
        <w:tc>
          <w:tcPr>
            <w:tcW w:w="11000" w:type="dxa"/>
            <w:vAlign w:val="center"/>
            <w:noWrap/>
          </w:tcPr>
          <w:p>
            <w:pPr/>
            <w:r>
              <w:rPr/>
              <w:t xml:space="preserve">Nőivarúakat, hogy ne legyen pollenszennyezés</w:t>
            </w:r>
          </w:p>
        </w:tc>
      </w:tr>
      <w:tr>
        <w:trPr/>
        <w:tc>
          <w:tcPr>
            <w:tcW w:w="11000" w:type="dxa"/>
            <w:vAlign w:val="center"/>
            <w:noWrap/>
          </w:tcPr>
          <w:p>
            <w:pPr/>
            <w:r>
              <w:rPr/>
              <w:t xml:space="preserve">Tiszafa hárs akác</w:t>
            </w:r>
          </w:p>
        </w:tc>
      </w:tr>
      <w:tr>
        <w:trPr/>
        <w:tc>
          <w:tcPr>
            <w:tcW w:w="11000" w:type="dxa"/>
            <w:vAlign w:val="center"/>
            <w:noWrap/>
          </w:tcPr>
          <w:p>
            <w:pPr/>
            <w:r>
              <w:rPr/>
              <w:t xml:space="preserve">Kőriseket és a meszes talajt, valamint a szárazságot és a meleget "kedvelő" fajokat.</w:t>
            </w:r>
          </w:p>
        </w:tc>
      </w:tr>
      <w:tr>
        <w:trPr/>
        <w:tc>
          <w:tcPr>
            <w:tcW w:w="11000" w:type="dxa"/>
            <w:vAlign w:val="center"/>
            <w:noWrap/>
          </w:tcPr>
          <w:p>
            <w:pPr/>
            <w:r>
              <w:rPr/>
              <w:t xml:space="preserve">Őshonos fa- és cserjefajokat, amelyeken az itt élő állatok is meg tudnak telepedni. Sokféleséget inkább, mint monokultúrát. Pampafüvet inkább nem.</w:t>
            </w:r>
          </w:p>
        </w:tc>
      </w:tr>
      <w:tr>
        <w:trPr/>
        <w:tc>
          <w:tcPr>
            <w:tcW w:w="11000" w:type="dxa"/>
            <w:vAlign w:val="center"/>
            <w:noWrap/>
          </w:tcPr>
          <w:p>
            <w:pPr/>
            <w:r>
              <w:rPr/>
              <w:t xml:space="preserve">Szakember véleményét kérjék</w:t>
            </w:r>
          </w:p>
        </w:tc>
      </w:tr>
      <w:tr>
        <w:trPr/>
        <w:tc>
          <w:tcPr>
            <w:tcW w:w="11000" w:type="dxa"/>
            <w:vAlign w:val="center"/>
            <w:noWrap/>
          </w:tcPr>
          <w:p>
            <w:pPr/>
            <w:r>
              <w:rPr/>
              <w:t xml:space="preserve">Árnyékot adó, nem invazív fák.</w:t>
            </w:r>
          </w:p>
        </w:tc>
      </w:tr>
    </w:tbl>
    <w:p/>
    <w:p>
      <w:pPr/>
      <w:r>
        <w:rPr>
          <w:sz w:val="24"/>
          <w:szCs w:val="24"/>
          <w:i w:val="1"/>
          <w:iCs w:val="1"/>
        </w:rPr>
        <w:t xml:space="preserve">További 57 válasz megtekintéséhez válassza az: "Excel CSV teljes" exportálási típust.</w:t>
      </w:r>
    </w:p>
    <w:p/>
    <w:p>
      <w:pPr>
        <w:jc w:val="right"/>
      </w:pPr>
      <w:r>
        <w:rPr>
          <w:sz w:val="24"/>
          <w:szCs w:val="24"/>
          <w:b w:val="1"/>
          <w:bCs w:val="1"/>
        </w:rPr>
        <w:t xml:space="preserve">82</w:t>
      </w:r>
      <w:r>
        <w:rPr>
          <w:sz w:val="24"/>
          <w:szCs w:val="24"/>
        </w:rPr>
        <w:t xml:space="preserve"> kitöltőtől összesen </w:t>
      </w:r>
      <w:r>
        <w:rPr>
          <w:sz w:val="24"/>
          <w:szCs w:val="24"/>
          <w:b w:val="1"/>
          <w:bCs w:val="1"/>
        </w:rPr>
        <w:t xml:space="preserve">82</w:t>
      </w:r>
      <w:r>
        <w:rPr>
          <w:sz w:val="24"/>
          <w:szCs w:val="24"/>
        </w:rPr>
        <w:t xml:space="preserve"> válasz</w:t>
      </w:r>
    </w:p>
    <w:p>
      <w:pPr>
        <w:sectPr>
          <w:pgSz w:orient="portrait" w:w="11905.511811023622" w:h="16837.79527559055"/>
          <w:pgMar w:top="600" w:right="600" w:bottom="600" w:left="600" w:header="720" w:footer="720" w:gutter="0"/>
          <w:cols w:num="1" w:space="720"/>
        </w:sectPr>
      </w:pPr>
    </w:p>
    <w:p>
      <w:pPr>
        <w:pStyle w:val="Heading1"/>
      </w:pPr>
      <w:bookmarkStart w:id="24" w:name="_Toc24"/>
      <w:r>
        <w:t>Milyen egyéb köztéri attrakciót, látványelemet látna szívesen a területen, ami miatt szívesen ide jönne?</w:t>
      </w:r>
      <w:bookmarkEnd w:id="24"/>
    </w:p>
    <w:tbl>
      <w:tblGrid>
        <w:gridCol w:w="11000" w:type="dxa"/>
      </w:tblGrid>
      <w:tblPr>
        <w:tblStyle w:val="TextTable"/>
      </w:tblPr>
      <w:tr>
        <w:trPr/>
        <w:tc>
          <w:tcPr>
            <w:tcW w:w="11000" w:type="dxa"/>
            <w:vAlign w:val="center"/>
            <w:noWrap/>
          </w:tcPr>
          <w:p>
            <w:pPr/>
            <w:r>
              <w:rPr/>
              <w:t xml:space="preserve">nem tudom</w:t>
            </w:r>
          </w:p>
        </w:tc>
      </w:tr>
      <w:tr>
        <w:trPr/>
        <w:tc>
          <w:tcPr>
            <w:tcW w:w="11000" w:type="dxa"/>
            <w:vAlign w:val="center"/>
            <w:noWrap/>
          </w:tcPr>
          <w:p>
            <w:pPr/>
            <w:r>
              <w:rPr/>
              <w:t xml:space="preserve">Könyv automatát</w:t>
            </w:r>
          </w:p>
        </w:tc>
      </w:tr>
      <w:tr>
        <w:trPr/>
        <w:tc>
          <w:tcPr>
            <w:tcW w:w="11000" w:type="dxa"/>
            <w:vAlign w:val="center"/>
            <w:noWrap/>
          </w:tcPr>
          <w:p>
            <w:pPr/>
            <w:r>
              <w:rPr/>
              <w:t xml:space="preserve">Egy mini állatparkot, egyszerű, háztáji állatokkal: kecske, nyúl, juh, stb.</w:t>
            </w:r>
          </w:p>
        </w:tc>
      </w:tr>
      <w:tr>
        <w:trPr/>
        <w:tc>
          <w:tcPr>
            <w:tcW w:w="11000" w:type="dxa"/>
            <w:vAlign w:val="center"/>
            <w:noWrap/>
          </w:tcPr>
          <w:p>
            <w:pPr/>
            <w:r>
              <w:rPr/>
              <w:t xml:space="preserve">Semmilyet</w:t>
            </w:r>
          </w:p>
        </w:tc>
      </w:tr>
      <w:tr>
        <w:trPr/>
        <w:tc>
          <w:tcPr>
            <w:tcW w:w="11000" w:type="dxa"/>
            <w:vAlign w:val="center"/>
            <w:noWrap/>
          </w:tcPr>
          <w:p>
            <w:pPr/>
            <w:r>
              <w:rPr/>
              <w:t xml:space="preserve">Kivetítő, hogy sport eseméyneket lehessen megnézni. Jó lenne ha a kutyáknak is kialakítanának valami kis helyet, de legyen mindenképpen megfelelő mennyiségű kuka és ivókút</w:t>
            </w:r>
          </w:p>
        </w:tc>
      </w:tr>
      <w:tr>
        <w:trPr/>
        <w:tc>
          <w:tcPr>
            <w:tcW w:w="11000" w:type="dxa"/>
            <w:vAlign w:val="center"/>
            <w:noWrap/>
          </w:tcPr>
          <w:p>
            <w:pPr/>
            <w:r>
              <w:rPr/>
              <w:t xml:space="preserve">árnyékot adó szaletli</w:t>
            </w:r>
          </w:p>
        </w:tc>
      </w:tr>
      <w:tr>
        <w:trPr/>
        <w:tc>
          <w:tcPr>
            <w:tcW w:w="11000" w:type="dxa"/>
            <w:vAlign w:val="center"/>
            <w:noWrap/>
          </w:tcPr>
          <w:p>
            <w:pPr/>
            <w:r>
              <w:rPr/>
              <w:t xml:space="preserve">kisebb szobrokat szívesen látnék</w:t>
            </w:r>
          </w:p>
        </w:tc>
      </w:tr>
      <w:tr>
        <w:trPr/>
        <w:tc>
          <w:tcPr>
            <w:tcW w:w="11000" w:type="dxa"/>
            <w:vAlign w:val="center"/>
            <w:noWrap/>
          </w:tcPr>
          <w:p>
            <w:pPr/>
            <w:r>
              <w:rPr/>
              <w:t xml:space="preserve">Kerékpár-tároló.</w:t>
            </w:r>
          </w:p>
        </w:tc>
      </w:tr>
      <w:tr>
        <w:trPr/>
        <w:tc>
          <w:tcPr>
            <w:tcW w:w="11000" w:type="dxa"/>
            <w:vAlign w:val="center"/>
            <w:noWrap/>
          </w:tcPr>
          <w:p>
            <w:pPr/>
            <w:r>
              <w:rPr/>
              <w:t xml:space="preserve">Nem szükséges attrakció, ez nem vidámpark jellegű.</w:t>
            </w:r>
          </w:p>
        </w:tc>
      </w:tr>
      <w:tr>
        <w:trPr/>
        <w:tc>
          <w:tcPr>
            <w:tcW w:w="11000" w:type="dxa"/>
            <w:vAlign w:val="center"/>
            <w:noWrap/>
          </w:tcPr>
          <w:p>
            <w:pPr/>
            <w:r>
              <w:rPr/>
              <w:t xml:space="preserve">Semmilyet</w:t>
            </w:r>
          </w:p>
        </w:tc>
      </w:tr>
      <w:tr>
        <w:trPr/>
        <w:tc>
          <w:tcPr>
            <w:tcW w:w="11000" w:type="dxa"/>
            <w:vAlign w:val="center"/>
            <w:noWrap/>
          </w:tcPr>
          <w:p>
            <w:pPr/>
            <w:r>
              <w:rPr/>
              <w:t xml:space="preserve">sakkasztal</w:t>
            </w:r>
          </w:p>
        </w:tc>
      </w:tr>
      <w:tr>
        <w:trPr/>
        <w:tc>
          <w:tcPr>
            <w:tcW w:w="11000" w:type="dxa"/>
            <w:vAlign w:val="center"/>
            <w:noWrap/>
          </w:tcPr>
          <w:p>
            <w:pPr/>
            <w:r>
              <w:rPr/>
              <w:t xml:space="preserve">Rendezvények.</w:t>
            </w:r>
          </w:p>
        </w:tc>
      </w:tr>
      <w:tr>
        <w:trPr/>
        <w:tc>
          <w:tcPr>
            <w:tcW w:w="11000" w:type="dxa"/>
            <w:vAlign w:val="center"/>
            <w:noWrap/>
          </w:tcPr>
          <w:p>
            <w:pPr/>
            <w:r>
              <w:rPr/>
              <w:t xml:space="preserve">Nem gondolom, hogy a területen további forgalomnövelő "attrakciókat" kéne elhelyezni, inkább a meglévő funkciók (iskola, piac, rendezvénytér, játszótér, rendelő) magasabb minőségére kellene koncentrálni.</w:t>
            </w:r>
          </w:p>
        </w:tc>
      </w:tr>
      <w:tr>
        <w:trPr/>
        <w:tc>
          <w:tcPr>
            <w:tcW w:w="11000" w:type="dxa"/>
            <w:vAlign w:val="center"/>
            <w:noWrap/>
          </w:tcPr>
          <w:p>
            <w:pPr/>
            <w:r>
              <w:rPr/>
              <w:t xml:space="preserve">-</w:t>
            </w:r>
          </w:p>
        </w:tc>
      </w:tr>
      <w:tr>
        <w:trPr/>
        <w:tc>
          <w:tcPr>
            <w:tcW w:w="11000" w:type="dxa"/>
            <w:vAlign w:val="center"/>
            <w:noWrap/>
          </w:tcPr>
          <w:p>
            <w:pPr/>
            <w:r>
              <w:rPr/>
              <w:t xml:space="preserve">Szökőkút</w:t>
            </w:r>
          </w:p>
        </w:tc>
      </w:tr>
      <w:tr>
        <w:trPr/>
        <w:tc>
          <w:tcPr>
            <w:tcW w:w="11000" w:type="dxa"/>
            <w:vAlign w:val="center"/>
            <w:noWrap/>
          </w:tcPr>
          <w:p>
            <w:pPr/>
            <w:r>
              <w:rPr/>
              <w:t xml:space="preserve">köztéri kamerát a biztonságért és hogy ne lepjék el a csövik</w:t>
            </w:r>
          </w:p>
        </w:tc>
      </w:tr>
      <w:tr>
        <w:trPr/>
        <w:tc>
          <w:tcPr>
            <w:tcW w:w="11000" w:type="dxa"/>
            <w:vAlign w:val="center"/>
            <w:noWrap/>
          </w:tcPr>
          <w:p>
            <w:pPr/>
            <w:r>
              <w:rPr/>
              <w:t xml:space="preserve">Szabadtéri falmászótömb (zigzag boulder, pl.: ZigZag Boulder 8 | Hard Body Hang https://share.google/eTpnynw1QdjYhFcPu)</w:t>
            </w:r>
          </w:p>
        </w:tc>
      </w:tr>
      <w:tr>
        <w:trPr/>
        <w:tc>
          <w:tcPr>
            <w:tcW w:w="11000" w:type="dxa"/>
            <w:vAlign w:val="center"/>
            <w:noWrap/>
          </w:tcPr>
          <w:p>
            <w:pPr/>
            <w:r>
              <w:rPr/>
              <w:t xml:space="preserve">szökőkút,  napvitorlák</w:t>
            </w:r>
          </w:p>
        </w:tc>
      </w:tr>
      <w:tr>
        <w:trPr/>
        <w:tc>
          <w:tcPr>
            <w:tcW w:w="11000" w:type="dxa"/>
            <w:vAlign w:val="center"/>
            <w:noWrap/>
          </w:tcPr>
          <w:p>
            <w:pPr/>
            <w:r>
              <w:rPr/>
              <w:t xml:space="preserve">Várostörténeti kiállítást</w:t>
            </w:r>
          </w:p>
        </w:tc>
      </w:tr>
      <w:tr>
        <w:trPr/>
        <w:tc>
          <w:tcPr>
            <w:tcW w:w="11000" w:type="dxa"/>
            <w:vAlign w:val="center"/>
            <w:noWrap/>
          </w:tcPr>
          <w:p>
            <w:pPr/>
            <w:r>
              <w:rPr/>
              <w:t xml:space="preserve">csobogók, szökőkutak</w:t>
            </w:r>
          </w:p>
        </w:tc>
      </w:tr>
      <w:tr>
        <w:trPr/>
        <w:tc>
          <w:tcPr>
            <w:tcW w:w="11000" w:type="dxa"/>
            <w:vAlign w:val="center"/>
            <w:noWrap/>
          </w:tcPr>
          <w:p>
            <w:pPr/>
            <w:r>
              <w:rPr/>
              <w:t xml:space="preserve">Nem kell "attrakció""! Az erre szánt területen is növények legyenek</w:t>
            </w:r>
          </w:p>
        </w:tc>
      </w:tr>
      <w:tr>
        <w:trPr/>
        <w:tc>
          <w:tcPr>
            <w:tcW w:w="11000" w:type="dxa"/>
            <w:vAlign w:val="center"/>
            <w:noWrap/>
          </w:tcPr>
          <w:p>
            <w:pPr/>
            <w:r>
              <w:rPr/>
              <w:t xml:space="preserve">Szökőkutat</w:t>
            </w:r>
          </w:p>
        </w:tc>
      </w:tr>
      <w:tr>
        <w:trPr/>
        <w:tc>
          <w:tcPr>
            <w:tcW w:w="11000" w:type="dxa"/>
            <w:vAlign w:val="center"/>
            <w:noWrap/>
          </w:tcPr>
          <w:p>
            <w:pPr/>
            <w:r>
              <w:rPr/>
              <w:t xml:space="preserve">Korrekt szegély, működő víznyelő, nem lekopó gyalgosátjáró festék, nem botlásveszélyes térkövek, nem kipusztult növényezt, nem áttaposott zöldfelület, nem gyom, nem kukákból kifolyóü szemét, működő lámpák. Fenntartást akarok már itt látni, mert az nyagon gyenge a kerületben.</w:t>
            </w:r>
          </w:p>
        </w:tc>
      </w:tr>
      <w:tr>
        <w:trPr/>
        <w:tc>
          <w:tcPr>
            <w:tcW w:w="11000" w:type="dxa"/>
            <w:vAlign w:val="center"/>
            <w:noWrap/>
          </w:tcPr>
          <w:p>
            <w:pPr/>
            <w:r>
              <w:rPr/>
              <w:t xml:space="preserve">Távcsövet</w:t>
            </w:r>
          </w:p>
        </w:tc>
      </w:tr>
      <w:tr>
        <w:trPr/>
        <w:tc>
          <w:tcPr>
            <w:tcW w:w="11000" w:type="dxa"/>
            <w:vAlign w:val="center"/>
            <w:noWrap/>
          </w:tcPr>
          <w:p>
            <w:pPr/>
            <w:r>
              <w:rPr/>
              <w:t xml:space="preserve">kő szobrok</w:t>
            </w:r>
          </w:p>
        </w:tc>
      </w:tr>
    </w:tbl>
    <w:p/>
    <w:p>
      <w:pPr/>
      <w:r>
        <w:rPr>
          <w:sz w:val="24"/>
          <w:szCs w:val="24"/>
          <w:i w:val="1"/>
          <w:iCs w:val="1"/>
        </w:rPr>
        <w:t xml:space="preserve">További 63 válasz megtekintéséhez válassza az: "Excel CSV teljes" exportálási típust.</w:t>
      </w:r>
    </w:p>
    <w:p/>
    <w:p>
      <w:pPr>
        <w:jc w:val="right"/>
      </w:pPr>
      <w:r>
        <w:rPr>
          <w:sz w:val="24"/>
          <w:szCs w:val="24"/>
          <w:b w:val="1"/>
          <w:bCs w:val="1"/>
        </w:rPr>
        <w:t xml:space="preserve">88</w:t>
      </w:r>
      <w:r>
        <w:rPr>
          <w:sz w:val="24"/>
          <w:szCs w:val="24"/>
        </w:rPr>
        <w:t xml:space="preserve"> kitöltőtől összesen </w:t>
      </w:r>
      <w:r>
        <w:rPr>
          <w:sz w:val="24"/>
          <w:szCs w:val="24"/>
          <w:b w:val="1"/>
          <w:bCs w:val="1"/>
        </w:rPr>
        <w:t xml:space="preserve">88</w:t>
      </w:r>
      <w:r>
        <w:rPr>
          <w:sz w:val="24"/>
          <w:szCs w:val="24"/>
        </w:rPr>
        <w:t xml:space="preserve"> válasz</w:t>
      </w:r>
    </w:p>
    <w:p>
      <w:pPr>
        <w:sectPr>
          <w:pgSz w:orient="portrait" w:w="11905.511811023622" w:h="16837.79527559055"/>
          <w:pgMar w:top="600" w:right="600" w:bottom="600" w:left="600" w:header="720" w:footer="720" w:gutter="0"/>
          <w:cols w:num="1" w:space="720"/>
        </w:sectPr>
      </w:pPr>
    </w:p>
    <w:p>
      <w:pPr>
        <w:pStyle w:val="Heading1"/>
      </w:pPr>
      <w:bookmarkStart w:id="25" w:name="_Toc25"/>
      <w:r>
        <w:t>Ön szerint milyen színvilág alakítaná leginkább az iskola előtti tér hangulatát?</w:t>
      </w:r>
      <w:bookmarkEnd w:id="25"/>
    </w:p>
    <w:tbl>
      <w:tblGrid>
        <w:gridCol w:w="9000" w:type="dxa"/>
        <w:gridCol w:w="900" w:type="dxa"/>
        <w:gridCol w:w="900" w:type="dxa"/>
      </w:tblGrid>
      <w:tblPr>
        <w:tblStyle w:val="StatTable"/>
      </w:tblPr>
      <w:tr>
        <w:trPr/>
        <w:tc>
          <w:tcPr>
            <w:tcW w:w="9000" w:type="dxa"/>
            <w:vAlign w:val="center"/>
            <w:noWrap/>
          </w:tcPr>
          <w:p>
            <w:pPr/>
            <w:r>
              <w:rPr>
                <w:sz w:val="24"/>
                <w:szCs w:val="24"/>
                <w:b w:val="1"/>
                <w:bCs w:val="1"/>
              </w:rPr>
              <w:t xml:space="preserve">Válasz</w:t>
            </w:r>
          </w:p>
        </w:tc>
        <w:tc>
          <w:tcPr>
            <w:tcW w:w="900" w:type="dxa"/>
            <w:vAlign w:val="center"/>
            <w:noWrap/>
          </w:tcPr>
          <w:p>
            <w:pPr>
              <w:jc w:val="center"/>
            </w:pPr>
            <w:r>
              <w:rPr>
                <w:sz w:val="24"/>
                <w:szCs w:val="24"/>
                <w:b w:val="1"/>
                <w:bCs w:val="1"/>
              </w:rPr>
              <w:t xml:space="preserve">db</w:t>
            </w:r>
          </w:p>
        </w:tc>
        <w:tc>
          <w:tcPr>
            <w:tcW w:w="900" w:type="dxa"/>
            <w:vAlign w:val="center"/>
            <w:noWrap/>
          </w:tcPr>
          <w:p>
            <w:pPr>
              <w:jc w:val="center"/>
            </w:pPr>
            <w:r>
              <w:rPr>
                <w:sz w:val="24"/>
                <w:szCs w:val="24"/>
                <w:b w:val="1"/>
                <w:bCs w:val="1"/>
              </w:rPr>
              <w:t xml:space="preserve">%</w:t>
            </w:r>
          </w:p>
        </w:tc>
      </w:tr>
      <w:tr>
        <w:trPr/>
        <w:tc>
          <w:tcPr>
            <w:tcW w:w="9000" w:type="dxa"/>
            <w:vAlign w:val="center"/>
            <w:noWrap/>
          </w:tcPr>
          <w:p>
            <w:pPr/>
            <w:r>
              <w:rPr>
                <w:sz w:val="24"/>
                <w:szCs w:val="24"/>
              </w:rPr>
              <w:t xml:space="preserve">Természetes fa / natúr színek</w:t>
            </w:r>
          </w:p>
        </w:tc>
        <w:tc>
          <w:tcPr>
            <w:tcW w:w="900" w:type="dxa"/>
            <w:vAlign w:val="center"/>
            <w:noWrap/>
          </w:tcPr>
          <w:p>
            <w:pPr>
              <w:jc w:val="center"/>
            </w:pPr>
            <w:r>
              <w:rPr>
                <w:sz w:val="24"/>
                <w:szCs w:val="24"/>
              </w:rPr>
              <w:t xml:space="preserve">242</w:t>
            </w:r>
          </w:p>
        </w:tc>
        <w:tc>
          <w:tcPr>
            <w:tcW w:w="900" w:type="dxa"/>
            <w:vAlign w:val="center"/>
            <w:noWrap/>
          </w:tcPr>
          <w:p>
            <w:pPr>
              <w:jc w:val="center"/>
            </w:pPr>
            <w:r>
              <w:rPr>
                <w:sz w:val="24"/>
                <w:szCs w:val="24"/>
              </w:rPr>
              <w:t xml:space="preserve">57.2%</w:t>
            </w:r>
          </w:p>
        </w:tc>
      </w:tr>
      <w:tr>
        <w:trPr/>
        <w:tc>
          <w:tcPr>
            <w:tcW w:w="9000" w:type="dxa"/>
            <w:vAlign w:val="center"/>
            <w:noWrap/>
          </w:tcPr>
          <w:p>
            <w:pPr/>
            <w:r>
              <w:rPr>
                <w:sz w:val="24"/>
                <w:szCs w:val="24"/>
              </w:rPr>
              <w:t xml:space="preserve">Élénk, gyerekbarát színek</w:t>
            </w:r>
          </w:p>
        </w:tc>
        <w:tc>
          <w:tcPr>
            <w:tcW w:w="900" w:type="dxa"/>
            <w:vAlign w:val="center"/>
            <w:noWrap/>
          </w:tcPr>
          <w:p>
            <w:pPr>
              <w:jc w:val="center"/>
            </w:pPr>
            <w:r>
              <w:rPr>
                <w:sz w:val="24"/>
                <w:szCs w:val="24"/>
              </w:rPr>
              <w:t xml:space="preserve">172</w:t>
            </w:r>
          </w:p>
        </w:tc>
        <w:tc>
          <w:tcPr>
            <w:tcW w:w="900" w:type="dxa"/>
            <w:vAlign w:val="center"/>
            <w:noWrap/>
          </w:tcPr>
          <w:p>
            <w:pPr>
              <w:jc w:val="center"/>
            </w:pPr>
            <w:r>
              <w:rPr>
                <w:sz w:val="24"/>
                <w:szCs w:val="24"/>
              </w:rPr>
              <w:t xml:space="preserve">40.7%</w:t>
            </w:r>
          </w:p>
        </w:tc>
      </w:tr>
      <w:tr>
        <w:trPr/>
        <w:tc>
          <w:tcPr>
            <w:tcW w:w="9000" w:type="dxa"/>
            <w:vAlign w:val="center"/>
            <w:noWrap/>
          </w:tcPr>
          <w:p>
            <w:pPr/>
            <w:r>
              <w:rPr>
                <w:sz w:val="24"/>
                <w:szCs w:val="24"/>
              </w:rPr>
              <w:t xml:space="preserve">Semleges, városi színek (szürkés, fehér)</w:t>
            </w:r>
          </w:p>
        </w:tc>
        <w:tc>
          <w:tcPr>
            <w:tcW w:w="900" w:type="dxa"/>
            <w:vAlign w:val="center"/>
            <w:noWrap/>
          </w:tcPr>
          <w:p>
            <w:pPr>
              <w:jc w:val="center"/>
            </w:pPr>
            <w:r>
              <w:rPr>
                <w:sz w:val="24"/>
                <w:szCs w:val="24"/>
              </w:rPr>
              <w:t xml:space="preserve">9</w:t>
            </w:r>
          </w:p>
        </w:tc>
        <w:tc>
          <w:tcPr>
            <w:tcW w:w="900" w:type="dxa"/>
            <w:vAlign w:val="center"/>
            <w:noWrap/>
          </w:tcPr>
          <w:p>
            <w:pPr>
              <w:jc w:val="center"/>
            </w:pPr>
            <w:r>
              <w:rPr>
                <w:sz w:val="24"/>
                <w:szCs w:val="24"/>
              </w:rPr>
              <w:t xml:space="preserve">2.1%</w:t>
            </w:r>
          </w:p>
        </w:tc>
      </w:tr>
    </w:tbl>
    <w:p/>
    <w:p>
      <w:pPr>
        <w:jc w:val="right"/>
      </w:pPr>
      <w:r>
        <w:rPr>
          <w:sz w:val="24"/>
          <w:szCs w:val="24"/>
          <w:b w:val="1"/>
          <w:bCs w:val="1"/>
        </w:rPr>
        <w:t xml:space="preserve">423</w:t>
      </w:r>
      <w:r>
        <w:rPr>
          <w:sz w:val="24"/>
          <w:szCs w:val="24"/>
        </w:rPr>
        <w:t xml:space="preserve"> kitöltőtől összesen </w:t>
      </w:r>
      <w:r>
        <w:rPr>
          <w:sz w:val="24"/>
          <w:szCs w:val="24"/>
          <w:b w:val="1"/>
          <w:bCs w:val="1"/>
        </w:rPr>
        <w:t xml:space="preserve">423</w:t>
      </w:r>
      <w:r>
        <w:rPr>
          <w:sz w:val="24"/>
          <w:szCs w:val="24"/>
        </w:rPr>
        <w:t xml:space="preserve"> válasz</w:t>
      </w:r>
    </w:p>
    <w:p>
      <w:r>
        <w:drawing>
          <wp:inline>
            <wp:extent cx="6858000" cy="5943600"/>
            <wp:docPr id="23" name="Chart23"/>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pPr>
        <w:sectPr>
          <w:pgSz w:orient="portrait" w:w="11905.511811023622" w:h="16837.79527559055"/>
          <w:pgMar w:top="600" w:right="600" w:bottom="600" w:left="600" w:header="720" w:footer="720" w:gutter="0"/>
          <w:cols w:num="1" w:space="720"/>
        </w:sectPr>
      </w:pPr>
    </w:p>
    <w:p>
      <w:pPr>
        <w:pStyle w:val="Heading1"/>
      </w:pPr>
      <w:bookmarkStart w:id="26" w:name="_Toc26"/>
      <w:r>
        <w:t>Van-e egyéb ötlete, észrevétele, kiegészítése, amit fontosnak tartana a tervezés során figyelembe venni?</w:t>
      </w:r>
      <w:bookmarkEnd w:id="26"/>
    </w:p>
    <w:tbl>
      <w:tblGrid>
        <w:gridCol w:w="11000" w:type="dxa"/>
      </w:tblGrid>
      <w:tblPr>
        <w:tblStyle w:val="TextTable"/>
      </w:tblPr>
      <w:tr>
        <w:trPr/>
        <w:tc>
          <w:tcPr>
            <w:tcW w:w="11000" w:type="dxa"/>
            <w:vAlign w:val="center"/>
            <w:noWrap/>
          </w:tcPr>
          <w:p>
            <w:pPr/>
            <w:r>
              <w:rPr/>
              <w:t xml:space="preserve">nincs</w:t>
            </w:r>
          </w:p>
        </w:tc>
      </w:tr>
      <w:tr>
        <w:trPr/>
        <w:tc>
          <w:tcPr>
            <w:tcW w:w="11000" w:type="dxa"/>
            <w:vAlign w:val="center"/>
            <w:noWrap/>
          </w:tcPr>
          <w:p>
            <w:pPr/>
            <w:r>
              <w:rPr/>
              <w:t xml:space="preserve">A mozgássérültek és nehezen járók érdekeit vegyék figyelembe.</w:t>
            </w:r>
          </w:p>
        </w:tc>
      </w:tr>
      <w:tr>
        <w:trPr/>
        <w:tc>
          <w:tcPr>
            <w:tcW w:w="11000" w:type="dxa"/>
            <w:vAlign w:val="center"/>
            <w:noWrap/>
          </w:tcPr>
          <w:p>
            <w:pPr/>
            <w:r>
              <w:rPr/>
              <w:t xml:space="preserve">Legyen mentesítve az oda nem illő emberektől (hajléktalanok, drogfüggők, stb.), ha tiszta és rendezett tud maradni a terület hosszútávon, akkor nagyon kellemes lesz a környéken élőknek, ha viszont nem lesz kellő szigorral és rendszerességgel ellenőrizve, ide is ideszoknak majd a csövesek és elszemetesedik, leromlik.</w:t>
            </w:r>
          </w:p>
        </w:tc>
      </w:tr>
      <w:tr>
        <w:trPr/>
        <w:tc>
          <w:tcPr>
            <w:tcW w:w="11000" w:type="dxa"/>
            <w:vAlign w:val="center"/>
            <w:noWrap/>
          </w:tcPr>
          <w:p>
            <w:pPr/>
            <w:r>
              <w:rPr/>
              <w:t xml:space="preserve">Felháborítónak tartom, hogy egy ilyen álzöld ötlettel ellehetetlenítik az orvosi rendelő, az iskola és a gyógyszertárak megközelítését, semmilyen lehetőséget nem biztosítva a parkolásra, sőt, a jelenlegi parkolóhelyeket is megszüntetik. Ezzel megnehezítik több tízezer ember életét, akik naponta közlekednek arra. A területen így is megfelelő méretű közösségi tér és parkosított tér van, ha még zöldebbé akarnák tenni, elég lenne beültetni a piac mögötti hatalmas betonplaccot. Valakinek nem érdeke, hogy az emberek rendeltetésszerűen és zökkenőmentesen közlekedjenek a kerület fontos intézményei környékén. Építsenek pl. mélygarázst, annak a tetejét már érdemes parkosítani.</w:t>
            </w:r>
          </w:p>
        </w:tc>
      </w:tr>
      <w:tr>
        <w:trPr/>
        <w:tc>
          <w:tcPr>
            <w:tcW w:w="11000" w:type="dxa"/>
            <w:vAlign w:val="center"/>
            <w:noWrap/>
          </w:tcPr>
          <w:p>
            <w:pPr/>
            <w:r>
              <w:rPr/>
              <w:t xml:space="preserve">Nagyon jó lenne ha lenne hely mobil kávézónak, street food trackoknak. A környéken semmi nincs ahova le lehetne ülni egy kávéra, üdítőre, egy frissítőre vagy egy sütire. ha már közösségi tér, akkor erről is lehetne gondoskodni</w:t>
            </w:r>
          </w:p>
        </w:tc>
      </w:tr>
      <w:tr>
        <w:trPr/>
        <w:tc>
          <w:tcPr>
            <w:tcW w:w="11000" w:type="dxa"/>
            <w:vAlign w:val="center"/>
            <w:noWrap/>
          </w:tcPr>
          <w:p>
            <w:pPr/>
            <w:r>
              <w:rPr/>
              <w:t xml:space="preserve">nincs</w:t>
            </w:r>
          </w:p>
        </w:tc>
      </w:tr>
      <w:tr>
        <w:trPr/>
        <w:tc>
          <w:tcPr>
            <w:tcW w:w="11000" w:type="dxa"/>
            <w:vAlign w:val="center"/>
            <w:noWrap/>
          </w:tcPr>
          <w:p>
            <w:pPr/>
            <w:r>
              <w:rPr/>
              <w:t xml:space="preserve">Rendszeres növénygondozás és LOCSOLÁS!!! Nem elég élőlényeket egyszer kiültetni és otthagyni elszáradni.</w:t>
            </w:r>
          </w:p>
        </w:tc>
      </w:tr>
      <w:tr>
        <w:trPr/>
        <w:tc>
          <w:tcPr>
            <w:tcW w:w="11000" w:type="dxa"/>
            <w:vAlign w:val="center"/>
            <w:noWrap/>
          </w:tcPr>
          <w:p>
            <w:pPr/>
            <w:r>
              <w:rPr/>
              <w:t xml:space="preserve">Inkább a nyugalmat sugározza, mint az örökös zajkeltést......</w:t>
            </w:r>
          </w:p>
        </w:tc>
      </w:tr>
      <w:tr>
        <w:trPr/>
        <w:tc>
          <w:tcPr>
            <w:tcW w:w="11000" w:type="dxa"/>
            <w:vAlign w:val="center"/>
            <w:noWrap/>
          </w:tcPr>
          <w:p>
            <w:pPr/>
            <w:r>
              <w:rPr/>
              <w:t xml:space="preserve">Erre a helyre ez nem való.</w:t>
            </w:r>
          </w:p>
        </w:tc>
      </w:tr>
      <w:tr>
        <w:trPr/>
        <w:tc>
          <w:tcPr>
            <w:tcW w:w="11000" w:type="dxa"/>
            <w:vAlign w:val="center"/>
            <w:noWrap/>
          </w:tcPr>
          <w:p>
            <w:pPr/>
            <w:r>
              <w:rPr/>
              <w:t xml:space="preserve">köszi h kikéritek a véleményünket</w:t>
            </w:r>
          </w:p>
        </w:tc>
      </w:tr>
      <w:tr>
        <w:trPr/>
        <w:tc>
          <w:tcPr>
            <w:tcW w:w="11000" w:type="dxa"/>
            <w:vAlign w:val="center"/>
            <w:noWrap/>
          </w:tcPr>
          <w:p>
            <w:pPr/>
            <w:r>
              <w:rPr/>
              <w:t xml:space="preserve">Háát a nagy meleg. Már 2 hétig is tart a 40 fok s ez fokozódni fog- mint köztudott.    Erre is figyeljenek oda a tervezők, szakemberek. Köszönöm szépen munkájukat , biztos szép lesz.</w:t>
            </w:r>
          </w:p>
        </w:tc>
      </w:tr>
      <w:tr>
        <w:trPr/>
        <w:tc>
          <w:tcPr>
            <w:tcW w:w="11000" w:type="dxa"/>
            <w:vAlign w:val="center"/>
            <w:noWrap/>
          </w:tcPr>
          <w:p>
            <w:pPr/>
            <w:r>
              <w:rPr/>
              <w:t xml:space="preserve">A nemzetközi, és most már szerencsére budapesti példák is azt mutatják, hogy a Szent István tér-&gt;Játék utca autós forgalom elől való lezárása nem iskolai "csúcsidőn" kívül, hanem pont hogy iskolai csúcsidőben (a gyerekek beérkezésekor és hazaindulásakor) szükséges, az ismertetett terv hibás koncepción alapul. A reggeli "zűrzavarban" semmi szükség az iskola előtti téren parkoló, tolatgató, ideges, siető szülőkre és autójukra, ezt az iskolától minél távolabb szükséges tartani. (pl piac parkoló, Pécsi utca, ahonnan a gyerekek akár egyedül besétálhatnak) Ez elősegíti a gyalog, kerékpárral, illetve tömegközlekedéssel érkező diákok biztonságos közlekedését, így a szülők is szívesebben engedik el a gyerekeket az "anya/apataxi" helyett, ami pont a nagy autós forgalom miatt alakult ki.
https://bkk.hu/hirek/2025/10/bevalt-az-iskolautca-rakosligeten-folytatodik-a-program-a-xvii-keruletben.15397/</w:t>
            </w:r>
          </w:p>
        </w:tc>
      </w:tr>
      <w:tr>
        <w:trPr/>
        <w:tc>
          <w:tcPr>
            <w:tcW w:w="11000" w:type="dxa"/>
            <w:vAlign w:val="center"/>
            <w:noWrap/>
          </w:tcPr>
          <w:p>
            <w:pPr/>
            <w:r>
              <w:rPr/>
              <w:t xml:space="preserve">-</w:t>
            </w:r>
          </w:p>
        </w:tc>
      </w:tr>
      <w:tr>
        <w:trPr/>
        <w:tc>
          <w:tcPr>
            <w:tcW w:w="11000" w:type="dxa"/>
            <w:vAlign w:val="center"/>
            <w:noWrap/>
          </w:tcPr>
          <w:p>
            <w:pPr/>
            <w:r>
              <w:rPr/>
              <w:t xml:space="preserve">Ne legyen kavics, térkő</w:t>
            </w:r>
          </w:p>
        </w:tc>
      </w:tr>
      <w:tr>
        <w:trPr/>
        <w:tc>
          <w:tcPr>
            <w:tcW w:w="11000" w:type="dxa"/>
            <w:vAlign w:val="center"/>
            <w:noWrap/>
          </w:tcPr>
          <w:p>
            <w:pPr/>
            <w:r>
              <w:rPr/>
              <w:t xml:space="preserve">Priorizálja a helyi, őshonos fafajok (pl. tölgy, juhar) ültetését a pampafű helyett, legalább 50-70 új fával a zöldfolyosón.
Gyerekjátszótér bővítése: több mászókát, hintát, homokozót helyezzenek el a Városház tér környékén.
Biztonságos kerékpár- és gyalogos övezet kijelölése, ahol gyerekek önállóan közlekedhetnek iskola felé.
Megtartani a meglévő parkolóhelyek legalább 70%-át, alternatív parkolási megoldásokkal (pl. közeli P+R).
Akadálymentes rámpák és széles járdák minden gyalogos átjárónál, babakocsival is könnyen használhatóan.
Gyerekbarát információs táblák: fák nevei, madárházikók nevei magyarul.
Kerülje a szökőkutakat vagy dekoratív USB/WiFi padokat, költségvetést fásításra fordítsák
Gépjárműforgalom csökkentése, de ne tiltsák ki teljesen a helyi lakosokat, kínáljanak alternatívát az autósoknak</w:t>
            </w:r>
          </w:p>
        </w:tc>
      </w:tr>
      <w:tr>
        <w:trPr/>
        <w:tc>
          <w:tcPr>
            <w:tcW w:w="11000" w:type="dxa"/>
            <w:vAlign w:val="center"/>
            <w:noWrap/>
          </w:tcPr>
          <w:p>
            <w:pPr/>
            <w:r>
              <w:rPr/>
              <w:t xml:space="preserve">minden parkbútornak rongálásnak ellenálló kivitele. Figyelemmel a kiskorúakra a baleset megelőzésére nagyon oda kell figyelni.</w:t>
            </w:r>
          </w:p>
        </w:tc>
      </w:tr>
      <w:tr>
        <w:trPr/>
        <w:tc>
          <w:tcPr>
            <w:tcW w:w="11000" w:type="dxa"/>
            <w:vAlign w:val="center"/>
            <w:noWrap/>
          </w:tcPr>
          <w:p>
            <w:pPr/>
            <w:r>
              <w:rPr/>
              <w:t xml:space="preserve">Minél kevésbé rontsa az autós haladás/parkolás lehetőségeit, hiszen az máshová eszkalál még nagyobb problémát.</w:t>
            </w:r>
          </w:p>
        </w:tc>
      </w:tr>
      <w:tr>
        <w:trPr/>
        <w:tc>
          <w:tcPr>
            <w:tcW w:w="11000" w:type="dxa"/>
            <w:vAlign w:val="center"/>
            <w:noWrap/>
          </w:tcPr>
          <w:p>
            <w:pPr/>
            <w:r>
              <w:rPr/>
              <w:t xml:space="preserve">Az autóforgalom, parkolás lehetősége a postahoz, tüdőgondozó hoz és az iskolához meg kell h maradjon valtozatlanul. A környék macskahugy szagú. Támogassák maximálisan az allatmento szervezeteket és az ivartalanítást. Osvenyeket át a zöld területeken oda alakítsanak ki ahová az emberek igénylik.</w:t>
            </w:r>
          </w:p>
        </w:tc>
      </w:tr>
      <w:tr>
        <w:trPr/>
        <w:tc>
          <w:tcPr>
            <w:tcW w:w="11000" w:type="dxa"/>
            <w:vAlign w:val="center"/>
            <w:noWrap/>
          </w:tcPr>
          <w:p>
            <w:pPr/>
            <w:r>
              <w:rPr/>
              <w:t xml:space="preserve">Szerintem teljesen mindegy, mert ugyanúgy mint a jelenlegi ücsörgésre kialakitott helyeket, ezeket is el fogják lepni a csövesek lsd. Piactér</w:t>
            </w:r>
          </w:p>
        </w:tc>
      </w:tr>
      <w:tr>
        <w:trPr/>
        <w:tc>
          <w:tcPr>
            <w:tcW w:w="11000" w:type="dxa"/>
            <w:vAlign w:val="center"/>
            <w:noWrap/>
          </w:tcPr>
          <w:p>
            <w:pPr/>
            <w:r>
              <w:rPr/>
              <w:t xml:space="preserve">Gyönyörűek a fa burkolatok és erre szavaznék sok esetben, de legyen biztosítva azok rendszeres karbantartása, felületkezelése!</w:t>
            </w:r>
          </w:p>
        </w:tc>
      </w:tr>
      <w:tr>
        <w:trPr/>
        <w:tc>
          <w:tcPr>
            <w:tcW w:w="11000" w:type="dxa"/>
            <w:vAlign w:val="center"/>
            <w:noWrap/>
          </w:tcPr>
          <w:p>
            <w:pPr/>
            <w:r>
              <w:rPr/>
              <w:t xml:space="preserve">Az előző lap utolsó kérdése milyen ostoba már? A színkoncepció tervezői feladat, ráadásul úgy tudom ez műemléki környezet. Nagyon nem érzem jó kezekben ezt a 2 mrd forintot, Önök fogják a tervezést és kivitelezést lebonyolítani? Ugye, ennél összeszedettebben és szakmaibban?</w:t>
            </w:r>
          </w:p>
        </w:tc>
      </w:tr>
      <w:tr>
        <w:trPr/>
        <w:tc>
          <w:tcPr>
            <w:tcW w:w="11000" w:type="dxa"/>
            <w:vAlign w:val="center"/>
            <w:noWrap/>
          </w:tcPr>
          <w:p>
            <w:pPr/>
            <w:r>
              <w:rPr/>
              <w:t xml:space="preserve">Nincs</w:t>
            </w:r>
          </w:p>
        </w:tc>
      </w:tr>
      <w:tr>
        <w:trPr/>
        <w:tc>
          <w:tcPr>
            <w:tcW w:w="11000" w:type="dxa"/>
            <w:vAlign w:val="center"/>
            <w:noWrap/>
          </w:tcPr>
          <w:p>
            <w:pPr/>
            <w:r>
              <w:rPr/>
              <w:t xml:space="preserve">Több köztéri szemetes, ürülékgyűjtő, köztéri kút a kutyasétáltatóknak, közterület felügyelet állandó jelenléte a kutyaürüléket nem szedők, és a hajléktalanok kordában tartására</w:t>
            </w:r>
          </w:p>
        </w:tc>
      </w:tr>
      <w:tr>
        <w:trPr/>
        <w:tc>
          <w:tcPr>
            <w:tcW w:w="11000" w:type="dxa"/>
            <w:vAlign w:val="center"/>
            <w:noWrap/>
          </w:tcPr>
          <w:p>
            <w:pPr/>
            <w:r>
              <w:rPr/>
              <w:t xml:space="preserve">Aki zöldet akar,menjen ki az erdőbe. A terület jelenleg az orvoshoz, iskolába járáshoz, ügyintézéshez, bevásárláshoz áthaladó terület, aminek kiválóan megfelel a jelen állapotában. Erre kidobni 2 milliárdot teljesen felesleges, pocsékolás.</w:t>
            </w:r>
          </w:p>
        </w:tc>
      </w:tr>
      <w:tr>
        <w:trPr/>
        <w:tc>
          <w:tcPr>
            <w:tcW w:w="11000" w:type="dxa"/>
            <w:vAlign w:val="center"/>
            <w:noWrap/>
          </w:tcPr>
          <w:p>
            <w:pPr/>
            <w:r>
              <w:rPr/>
              <w:t xml:space="preserve">Hajléktalan- mentes, kutya- mentes közterületet, amit tisztán tartanak és egy -két ívóvízkút telepítését.</w:t>
            </w:r>
          </w:p>
        </w:tc>
      </w:tr>
    </w:tbl>
    <w:p/>
    <w:p>
      <w:pPr/>
      <w:r>
        <w:rPr>
          <w:sz w:val="24"/>
          <w:szCs w:val="24"/>
          <w:i w:val="1"/>
          <w:iCs w:val="1"/>
        </w:rPr>
        <w:t xml:space="preserve">További 96 válasz megtekintéséhez válassza az: "Excel CSV teljes" exportálási típust.</w:t>
      </w:r>
    </w:p>
    <w:p/>
    <w:p>
      <w:pPr>
        <w:jc w:val="right"/>
      </w:pPr>
      <w:r>
        <w:rPr>
          <w:sz w:val="24"/>
          <w:szCs w:val="24"/>
          <w:b w:val="1"/>
          <w:bCs w:val="1"/>
        </w:rPr>
        <w:t xml:space="preserve">121</w:t>
      </w:r>
      <w:r>
        <w:rPr>
          <w:sz w:val="24"/>
          <w:szCs w:val="24"/>
        </w:rPr>
        <w:t xml:space="preserve"> kitöltőtől összesen </w:t>
      </w:r>
      <w:r>
        <w:rPr>
          <w:sz w:val="24"/>
          <w:szCs w:val="24"/>
          <w:b w:val="1"/>
          <w:bCs w:val="1"/>
        </w:rPr>
        <w:t xml:space="preserve">121</w:t>
      </w:r>
      <w:r>
        <w:rPr>
          <w:sz w:val="24"/>
          <w:szCs w:val="24"/>
        </w:rPr>
        <w:t xml:space="preserve"> válasz</w:t>
      </w:r>
    </w:p>
    <w:sectPr>
      <w:pgSz w:orient="portrait" w:w="11905.511811023622" w:h="16837.79527559055"/>
      <w:pgMar w:top="600" w:right="600" w:bottom="600" w:left="60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center"/>
    </w:pPr>
    <w:r>
      <w:fldChar w:fldCharType="begin"/>
    </w:r>
    <w:r>
      <w:rPr/>
      <w:instrText xml:space="preserve">PAGE</w:instrText>
    </w:r>
    <w:r>
      <w:fldChar w:fldCharType="separate"/>
    </w:r>
    <w:r>
      <w:fldChar w:fldCharType="end"/>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
    <w:nsid w:val="B0FF916A"/>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num w:numId="4">
    <w:abstractNumId w:val="4"/>
  </w:num>
</w:numbering>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color w:val="000000"/>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 w:type="paragraph" w:styleId="Heading1">
    <w:link w:val="Heading1Char"/>
    <w:name w:val="heading 1"/>
    <w:rPr>
      <w:sz w:val="32"/>
      <w:szCs w:val="32"/>
    </w:rPr>
  </w:style>
  <w:style w:type="table" w:customStyle="1" w:styleId="StatTable">
    <w:name w:val="StatTable"/>
    <w:uiPriority w:val="99"/>
    <w:tblPr>
      <w:tblW w:w="0" w:type="auto"/>
      <w:tblLayout w:type="autofit"/>
      <w:tblCellMar>
        <w:top w:w="150" w:type="dxa"/>
        <w:left w:w="100" w:type="dxa"/>
        <w:right w:w="100" w:type="dxa"/>
        <w:bottom w:w="0" w:type="dxa"/>
      </w:tblCellMar>
      <w:tblBorders>
        <w:top w:val="single" w:sz="1" w:color="cccccc"/>
        <w:left w:val="single" w:sz="1" w:color="cccccc"/>
        <w:right w:val="single" w:sz="1" w:color="cccccc"/>
        <w:bottom w:val="single" w:sz="1" w:color="cccccc"/>
        <w:insideH w:val="single" w:sz="1" w:color="cccccc"/>
        <w:insideV w:val="single" w:sz="1" w:color="cccccc"/>
      </w:tblBorders>
    </w:tblPr>
  </w:style>
  <w:style w:type="table" w:customStyle="1" w:styleId="TextTable">
    <w:name w:val="TextTable"/>
    <w:uiPriority w:val="99"/>
    <w:tblPr>
      <w:tblW w:w="0" w:type="auto"/>
      <w:tblLayout w:type="autofit"/>
      <w:tblCellMar>
        <w:top w:w="150" w:type="dxa"/>
        <w:left w:w="50" w:type="dxa"/>
        <w:right w:w="50" w:type="dxa"/>
        <w:bottom w:w="0" w:type="dxa"/>
      </w:tblCellMar>
      <w:tblBorders>
        <w:top w:val="single" w:sz="1" w:color="cccccc"/>
        <w:left w:val="single" w:sz="1" w:color="cccccc"/>
        <w:right w:val="single" w:sz="1" w:color="cccccc"/>
        <w:bottom w:val="single" w:sz="1" w:color="cccccc"/>
        <w:insideH w:val="single" w:sz="1" w:color="cccccc"/>
        <w:insideV w:val="single" w:sz="1" w:color="cccccc"/>
      </w:tblBorders>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footer" Target="footer1.xml"/><Relationship Id="rId8" Type="http://schemas.openxmlformats.org/officeDocument/2006/relationships/chart" Target="charts/chart1.xml"/><Relationship Id="rId9" Type="http://schemas.openxmlformats.org/officeDocument/2006/relationships/chart" Target="charts/chart2.xml"/><Relationship Id="rId10" Type="http://schemas.openxmlformats.org/officeDocument/2006/relationships/chart" Target="charts/chart3.xml"/><Relationship Id="rId11" Type="http://schemas.openxmlformats.org/officeDocument/2006/relationships/chart" Target="charts/chart4.xml"/><Relationship Id="rId12" Type="http://schemas.openxmlformats.org/officeDocument/2006/relationships/chart" Target="charts/chart5.xml"/><Relationship Id="rId13" Type="http://schemas.openxmlformats.org/officeDocument/2006/relationships/chart" Target="charts/chart6.xml"/><Relationship Id="rId14" Type="http://schemas.openxmlformats.org/officeDocument/2006/relationships/chart" Target="charts/chart7.xml"/><Relationship Id="rId15" Type="http://schemas.openxmlformats.org/officeDocument/2006/relationships/chart" Target="charts/chart8.xml"/><Relationship Id="rId16" Type="http://schemas.openxmlformats.org/officeDocument/2006/relationships/chart" Target="charts/chart9.xml"/><Relationship Id="rId17" Type="http://schemas.openxmlformats.org/officeDocument/2006/relationships/chart" Target="charts/chart10.xml"/><Relationship Id="rId18" Type="http://schemas.openxmlformats.org/officeDocument/2006/relationships/chart" Target="charts/chart11.xml"/><Relationship Id="rId19" Type="http://schemas.openxmlformats.org/officeDocument/2006/relationships/chart" Target="charts/chart12.xml"/><Relationship Id="rId20" Type="http://schemas.openxmlformats.org/officeDocument/2006/relationships/chart" Target="charts/chart13.xml"/><Relationship Id="rId21" Type="http://schemas.openxmlformats.org/officeDocument/2006/relationships/chart" Target="charts/chart14.xml"/><Relationship Id="rId22" Type="http://schemas.openxmlformats.org/officeDocument/2006/relationships/chart" Target="charts/chart15.xml"/><Relationship Id="rId23" Type="http://schemas.openxmlformats.org/officeDocument/2006/relationships/chart" Target="charts/chart16.xml"/></Relationships>
</file>

<file path=word/charts/chart1.xml><?xml version="1.0" encoding="utf-8"?>
<c:chartSpace xmlns:c="http://schemas.openxmlformats.org/drawingml/2006/chart" xmlns:a="http://schemas.openxmlformats.org/drawingml/2006/main" xmlns:r="http://schemas.openxmlformats.org/officeDocument/2006/relationships">
  <c:chart>
    <c:autoTitleDeleted val="1"/>
    <c:legend>
      <c:legendPos val="r"/>
    </c:legend>
    <c:plotArea>
      <c:layout/>
      <c:pieChart>
        <c:varyColors val="1"/>
        <c:ser>
          <c:idx val="0"/>
          <c:order val="0"/>
          <c:tx>
            <c:strRef>
              <c:strCache>
                <c:ptCount val="1"/>
                <c:pt idx="0">
                  <c:v>A kerületben él?</c:v>
                </c:pt>
              </c:strCache>
            </c:strRef>
          </c:tx>
          <c:dLbls>
            <c:showVal val="1"/>
            <c:showCatName val="0"/>
            <c:showLegendKey val="0"/>
            <c:showSerName val="0"/>
            <c:showPercent val="1"/>
            <c:showLeaderLines val="0"/>
            <c:showBubbleSize val="0"/>
          </c:dLbls>
          <c:cat>
            <c:strLit>
              <c:ptCount val="2"/>
              <c:pt idx="0">
                <c:v>Igen</c:v>
              </c:pt>
              <c:pt idx="1">
                <c:v>Nem</c:v>
              </c:pt>
            </c:strLit>
          </c:cat>
          <c:val>
            <c:numLit>
              <c:ptCount val="2"/>
              <c:pt idx="0">
                <c:v>398</c:v>
              </c:pt>
              <c:pt idx="1">
                <c:v>25</c:v>
              </c:pt>
            </c:numLit>
          </c:val>
        </c:ser>
        <c:overlap val="100"/>
      </c:pieChart>
    </c:plotArea>
  </c:chart>
  <c:spPr>
    <a:ln>
      <a:noFill/>
    </a:ln>
  </c:spPr>
</c:chartSpace>
</file>

<file path=word/charts/chart10.xml><?xml version="1.0" encoding="utf-8"?>
<c:chartSpace xmlns:c="http://schemas.openxmlformats.org/drawingml/2006/chart" xmlns:a="http://schemas.openxmlformats.org/drawingml/2006/main" xmlns:r="http://schemas.openxmlformats.org/officeDocument/2006/relationships">
  <c:chart>
    <c:autoTitleDeleted val="1"/>
    <c:legend>
      <c:legendPos val="r"/>
    </c:legend>
    <c:plotArea>
      <c:layout/>
      <c:barChart>
        <c:varyColors val="0"/>
        <c:barDir val="col"/>
        <c:grouping val="stacked"/>
        <c:ser>
          <c:idx val="0"/>
          <c:order val="0"/>
          <c:tx>
            <c:strRef>
              <c:strCache>
                <c:ptCount val="1"/>
                <c:pt idx="0">
                  <c:v>1</c:v>
                </c:pt>
              </c:strCache>
            </c:strRef>
          </c:tx>
          <c:dLbls>
            <c:showVal val="1"/>
            <c:showCatName val="0"/>
            <c:showLegendKey val="0"/>
            <c:showSerName val="0"/>
            <c:showPercent val="1"/>
            <c:showLeaderLines val="0"/>
            <c:showBubbleSize val="0"/>
          </c:dLbls>
          <c:cat>
            <c:strLit>
              <c:ptCount val="3"/>
              <c:pt idx="0">
                <c:v>Látványos, színes fényjátékos</c:v>
              </c:pt>
              <c:pt idx="1">
                <c:v>Természetes, visszafogott formav...</c:v>
              </c:pt>
              <c:pt idx="2">
                <c:v>Gyerekek által is használható „p...</c:v>
              </c:pt>
            </c:strLit>
          </c:cat>
          <c:val>
            <c:numLit>
              <c:ptCount val="3"/>
              <c:pt idx="0">
                <c:v>117</c:v>
              </c:pt>
              <c:pt idx="1">
                <c:v>41</c:v>
              </c:pt>
              <c:pt idx="2">
                <c:v>84</c:v>
              </c:pt>
            </c:numLit>
          </c:val>
        </c:ser>
        <c:ser>
          <c:idx val="1"/>
          <c:order val="1"/>
          <c:tx>
            <c:strRef>
              <c:strCache>
                <c:ptCount val="1"/>
                <c:pt idx="0">
                  <c:v>2</c:v>
                </c:pt>
              </c:strCache>
            </c:strRef>
          </c:tx>
          <c:dLbls>
            <c:showVal val="1"/>
            <c:showCatName val="0"/>
            <c:showLegendKey val="0"/>
            <c:showSerName val="0"/>
            <c:showPercent val="1"/>
            <c:showLeaderLines val="0"/>
            <c:showBubbleSize val="0"/>
          </c:dLbls>
          <c:cat>
            <c:strLit>
              <c:ptCount val="3"/>
              <c:pt idx="0">
                <c:v>Látványos, színes fényjátékos</c:v>
              </c:pt>
              <c:pt idx="1">
                <c:v>Természetes, visszafogott formav...</c:v>
              </c:pt>
              <c:pt idx="2">
                <c:v>Gyerekek által is használható „p...</c:v>
              </c:pt>
            </c:strLit>
          </c:cat>
          <c:val>
            <c:numLit>
              <c:ptCount val="3"/>
              <c:pt idx="0">
                <c:v>54</c:v>
              </c:pt>
              <c:pt idx="1">
                <c:v>24</c:v>
              </c:pt>
              <c:pt idx="2">
                <c:v>34</c:v>
              </c:pt>
            </c:numLit>
          </c:val>
        </c:ser>
        <c:ser>
          <c:idx val="2"/>
          <c:order val="2"/>
          <c:tx>
            <c:strRef>
              <c:strCache>
                <c:ptCount val="1"/>
                <c:pt idx="0">
                  <c:v>3</c:v>
                </c:pt>
              </c:strCache>
            </c:strRef>
          </c:tx>
          <c:dLbls>
            <c:showVal val="1"/>
            <c:showCatName val="0"/>
            <c:showLegendKey val="0"/>
            <c:showSerName val="0"/>
            <c:showPercent val="1"/>
            <c:showLeaderLines val="0"/>
            <c:showBubbleSize val="0"/>
          </c:dLbls>
          <c:cat>
            <c:strLit>
              <c:ptCount val="3"/>
              <c:pt idx="0">
                <c:v>Látványos, színes fényjátékos</c:v>
              </c:pt>
              <c:pt idx="1">
                <c:v>Természetes, visszafogott formav...</c:v>
              </c:pt>
              <c:pt idx="2">
                <c:v>Gyerekek által is használható „p...</c:v>
              </c:pt>
            </c:strLit>
          </c:cat>
          <c:val>
            <c:numLit>
              <c:ptCount val="3"/>
              <c:pt idx="0">
                <c:v>96</c:v>
              </c:pt>
              <c:pt idx="1">
                <c:v>70</c:v>
              </c:pt>
              <c:pt idx="2">
                <c:v>93</c:v>
              </c:pt>
            </c:numLit>
          </c:val>
        </c:ser>
        <c:ser>
          <c:idx val="3"/>
          <c:order val="3"/>
          <c:tx>
            <c:strRef>
              <c:strCache>
                <c:ptCount val="1"/>
                <c:pt idx="0">
                  <c:v>4</c:v>
                </c:pt>
              </c:strCache>
            </c:strRef>
          </c:tx>
          <c:dLbls>
            <c:showVal val="1"/>
            <c:showCatName val="0"/>
            <c:showLegendKey val="0"/>
            <c:showSerName val="0"/>
            <c:showPercent val="1"/>
            <c:showLeaderLines val="0"/>
            <c:showBubbleSize val="0"/>
          </c:dLbls>
          <c:cat>
            <c:strLit>
              <c:ptCount val="3"/>
              <c:pt idx="0">
                <c:v>Látványos, színes fényjátékos</c:v>
              </c:pt>
              <c:pt idx="1">
                <c:v>Természetes, visszafogott formav...</c:v>
              </c:pt>
              <c:pt idx="2">
                <c:v>Gyerekek által is használható „p...</c:v>
              </c:pt>
            </c:strLit>
          </c:cat>
          <c:val>
            <c:numLit>
              <c:ptCount val="3"/>
              <c:pt idx="0">
                <c:v>46</c:v>
              </c:pt>
              <c:pt idx="1">
                <c:v>87</c:v>
              </c:pt>
              <c:pt idx="2">
                <c:v>52</c:v>
              </c:pt>
            </c:numLit>
          </c:val>
        </c:ser>
        <c:ser>
          <c:idx val="4"/>
          <c:order val="4"/>
          <c:tx>
            <c:strRef>
              <c:strCache>
                <c:ptCount val="1"/>
                <c:pt idx="0">
                  <c:v>5</c:v>
                </c:pt>
              </c:strCache>
            </c:strRef>
          </c:tx>
          <c:dLbls>
            <c:showVal val="1"/>
            <c:showCatName val="0"/>
            <c:showLegendKey val="0"/>
            <c:showSerName val="0"/>
            <c:showPercent val="1"/>
            <c:showLeaderLines val="0"/>
            <c:showBubbleSize val="0"/>
          </c:dLbls>
          <c:cat>
            <c:strLit>
              <c:ptCount val="3"/>
              <c:pt idx="0">
                <c:v>Látványos, színes fényjátékos</c:v>
              </c:pt>
              <c:pt idx="1">
                <c:v>Természetes, visszafogott formav...</c:v>
              </c:pt>
              <c:pt idx="2">
                <c:v>Gyerekek által is használható „p...</c:v>
              </c:pt>
            </c:strLit>
          </c:cat>
          <c:val>
            <c:numLit>
              <c:ptCount val="3"/>
              <c:pt idx="0">
                <c:v>77</c:v>
              </c:pt>
              <c:pt idx="1">
                <c:v>176</c:v>
              </c:pt>
              <c:pt idx="2">
                <c:v>148</c:v>
              </c:pt>
            </c:numLit>
          </c:val>
        </c:ser>
        <c:overlap val="100"/>
        <c:axId val="1"/>
        <c:axId val="2"/>
      </c:barChart>
      <c:catAx>
        <c:axId val="1"/>
        <c:axPos val="b"/>
        <c:crossAx val="2"/>
        <c:auto val="1"/>
        <c:delete val="0"/>
        <c:majorTickMark val="none"/>
        <c:minorTickMark val="none"/>
        <c:tickLblPos val="nextTo"/>
        <c:crosses val="autoZero"/>
        <c:majorGridlines/>
        <c:scaling>
          <c:orientation val="minMax"/>
        </c:scaling>
        <c:spPr>
          <a:ln>
            <a:solidFill/>
          </a:ln>
        </c:spPr>
      </c:catAx>
      <c:valAx>
        <c:axId val="2"/>
        <c:axPos val="l"/>
        <c:crossAx val="1"/>
        <c:auto val="1"/>
        <c:delete val="0"/>
        <c:majorTickMark val="none"/>
        <c:minorTickMark val="none"/>
        <c:tickLblPos val="nextTo"/>
        <c:crosses val="autoZero"/>
        <c:majorGridlines/>
        <c:scaling>
          <c:orientation val="minMax"/>
        </c:scaling>
        <c:spPr>
          <a:ln>
            <a:solidFill/>
          </a:ln>
        </c:spPr>
      </c:valAx>
    </c:plotArea>
  </c:chart>
  <c:spPr>
    <a:ln>
      <a:noFill/>
    </a:ln>
  </c:spPr>
</c:chartSpace>
</file>

<file path=word/charts/chart11.xml><?xml version="1.0" encoding="utf-8"?>
<c:chartSpace xmlns:c="http://schemas.openxmlformats.org/drawingml/2006/chart" xmlns:a="http://schemas.openxmlformats.org/drawingml/2006/main" xmlns:r="http://schemas.openxmlformats.org/officeDocument/2006/relationships">
  <c:chart>
    <c:autoTitleDeleted val="1"/>
    <c:legend>
      <c:legendPos val="r"/>
    </c:legend>
    <c:plotArea>
      <c:layout/>
      <c:pieChart>
        <c:varyColors val="1"/>
        <c:ser>
          <c:idx val="0"/>
          <c:order val="0"/>
          <c:tx>
            <c:strRef>
              <c:strCache>
                <c:ptCount val="1"/>
                <c:pt idx="0">
                  <c:v>Mennyire tartja fontosnak, hogy a vízjáték mellett meg lehessen pihenni, le lehessen ülni?</c:v>
                </c:pt>
              </c:strCache>
            </c:strRef>
          </c:tx>
          <c:dLbls>
            <c:showVal val="1"/>
            <c:showCatName val="0"/>
            <c:showLegendKey val="0"/>
            <c:showSerName val="0"/>
            <c:showPercent val="1"/>
            <c:showLeaderLines val="0"/>
            <c:showBubbleSize val="0"/>
          </c:dLbls>
          <c:cat>
            <c:strLit>
              <c:ptCount val="5"/>
              <c:pt idx="0">
                <c:v>1</c:v>
              </c:pt>
              <c:pt idx="1">
                <c:v>2</c:v>
              </c:pt>
              <c:pt idx="2">
                <c:v>3</c:v>
              </c:pt>
              <c:pt idx="3">
                <c:v>4</c:v>
              </c:pt>
              <c:pt idx="4">
                <c:v>5</c:v>
              </c:pt>
            </c:strLit>
          </c:cat>
          <c:val>
            <c:numLit>
              <c:ptCount val="5"/>
              <c:pt idx="0">
                <c:v>22</c:v>
              </c:pt>
              <c:pt idx="1">
                <c:v>4</c:v>
              </c:pt>
              <c:pt idx="2">
                <c:v>25</c:v>
              </c:pt>
              <c:pt idx="3">
                <c:v>76</c:v>
              </c:pt>
              <c:pt idx="4">
                <c:v>296</c:v>
              </c:pt>
            </c:numLit>
          </c:val>
        </c:ser>
        <c:overlap val="100"/>
      </c:pieChart>
    </c:plotArea>
  </c:chart>
  <c:spPr>
    <a:ln>
      <a:noFill/>
    </a:ln>
  </c:spPr>
</c:chartSpace>
</file>

<file path=word/charts/chart12.xml><?xml version="1.0" encoding="utf-8"?>
<c:chartSpace xmlns:c="http://schemas.openxmlformats.org/drawingml/2006/chart" xmlns:a="http://schemas.openxmlformats.org/drawingml/2006/main" xmlns:r="http://schemas.openxmlformats.org/officeDocument/2006/relationships">
  <c:chart>
    <c:autoTitleDeleted val="1"/>
    <c:legend>
      <c:legendPos val="r"/>
    </c:legend>
    <c:plotArea>
      <c:layout/>
      <c:barChart>
        <c:varyColors val="0"/>
        <c:barDir val="col"/>
        <c:grouping val="stacked"/>
        <c:ser>
          <c:idx val="0"/>
          <c:order val="0"/>
          <c:tx>
            <c:strRef>
              <c:strCache>
                <c:ptCount val="1"/>
                <c:pt idx="0">
                  <c:v>1</c:v>
                </c:pt>
              </c:strCache>
            </c:strRef>
          </c:tx>
          <c:dLbls>
            <c:showVal val="1"/>
            <c:showCatName val="0"/>
            <c:showLegendKey val="0"/>
            <c:showSerName val="0"/>
            <c:showPercent val="1"/>
            <c:showLeaderLines val="0"/>
            <c:showBubbleSize val="0"/>
          </c:dLbls>
          <c:cat>
            <c:strLit>
              <c:ptCount val="4"/>
              <c:pt idx="0">
                <c:v>Kiállítások, előadások</c:v>
              </c:pt>
              <c:pt idx="1">
                <c:v>Gyermekprogramok</c:v>
              </c:pt>
              <c:pt idx="2">
                <c:v>Közösségi találkozók</c:v>
              </c:pt>
              <c:pt idx="3">
                <c:v>Turisztikai és helyi információs...</c:v>
              </c:pt>
            </c:strLit>
          </c:cat>
          <c:val>
            <c:numLit>
              <c:ptCount val="4"/>
              <c:pt idx="0">
                <c:v>17</c:v>
              </c:pt>
              <c:pt idx="1">
                <c:v>35</c:v>
              </c:pt>
              <c:pt idx="2">
                <c:v>19</c:v>
              </c:pt>
              <c:pt idx="3">
                <c:v>67</c:v>
              </c:pt>
            </c:numLit>
          </c:val>
        </c:ser>
        <c:ser>
          <c:idx val="1"/>
          <c:order val="1"/>
          <c:tx>
            <c:strRef>
              <c:strCache>
                <c:ptCount val="1"/>
                <c:pt idx="0">
                  <c:v>2</c:v>
                </c:pt>
              </c:strCache>
            </c:strRef>
          </c:tx>
          <c:dLbls>
            <c:showVal val="1"/>
            <c:showCatName val="0"/>
            <c:showLegendKey val="0"/>
            <c:showSerName val="0"/>
            <c:showPercent val="1"/>
            <c:showLeaderLines val="0"/>
            <c:showBubbleSize val="0"/>
          </c:dLbls>
          <c:cat>
            <c:strLit>
              <c:ptCount val="4"/>
              <c:pt idx="0">
                <c:v>Kiállítások, előadások</c:v>
              </c:pt>
              <c:pt idx="1">
                <c:v>Gyermekprogramok</c:v>
              </c:pt>
              <c:pt idx="2">
                <c:v>Közösségi találkozók</c:v>
              </c:pt>
              <c:pt idx="3">
                <c:v>Turisztikai és helyi információs...</c:v>
              </c:pt>
            </c:strLit>
          </c:cat>
          <c:val>
            <c:numLit>
              <c:ptCount val="4"/>
              <c:pt idx="0">
                <c:v>22</c:v>
              </c:pt>
              <c:pt idx="1">
                <c:v>26</c:v>
              </c:pt>
              <c:pt idx="2">
                <c:v>9</c:v>
              </c:pt>
              <c:pt idx="3">
                <c:v>46</c:v>
              </c:pt>
            </c:numLit>
          </c:val>
        </c:ser>
        <c:ser>
          <c:idx val="2"/>
          <c:order val="2"/>
          <c:tx>
            <c:strRef>
              <c:strCache>
                <c:ptCount val="1"/>
                <c:pt idx="0">
                  <c:v>3</c:v>
                </c:pt>
              </c:strCache>
            </c:strRef>
          </c:tx>
          <c:dLbls>
            <c:showVal val="1"/>
            <c:showCatName val="0"/>
            <c:showLegendKey val="0"/>
            <c:showSerName val="0"/>
            <c:showPercent val="1"/>
            <c:showLeaderLines val="0"/>
            <c:showBubbleSize val="0"/>
          </c:dLbls>
          <c:cat>
            <c:strLit>
              <c:ptCount val="4"/>
              <c:pt idx="0">
                <c:v>Kiállítások, előadások</c:v>
              </c:pt>
              <c:pt idx="1">
                <c:v>Gyermekprogramok</c:v>
              </c:pt>
              <c:pt idx="2">
                <c:v>Közösségi találkozók</c:v>
              </c:pt>
              <c:pt idx="3">
                <c:v>Turisztikai és helyi információs...</c:v>
              </c:pt>
            </c:strLit>
          </c:cat>
          <c:val>
            <c:numLit>
              <c:ptCount val="4"/>
              <c:pt idx="0">
                <c:v>70</c:v>
              </c:pt>
              <c:pt idx="1">
                <c:v>88</c:v>
              </c:pt>
              <c:pt idx="2">
                <c:v>83</c:v>
              </c:pt>
              <c:pt idx="3">
                <c:v>89</c:v>
              </c:pt>
            </c:numLit>
          </c:val>
        </c:ser>
        <c:ser>
          <c:idx val="3"/>
          <c:order val="3"/>
          <c:tx>
            <c:strRef>
              <c:strCache>
                <c:ptCount val="1"/>
                <c:pt idx="0">
                  <c:v>4</c:v>
                </c:pt>
              </c:strCache>
            </c:strRef>
          </c:tx>
          <c:dLbls>
            <c:showVal val="1"/>
            <c:showCatName val="0"/>
            <c:showLegendKey val="0"/>
            <c:showSerName val="0"/>
            <c:showPercent val="1"/>
            <c:showLeaderLines val="0"/>
            <c:showBubbleSize val="0"/>
          </c:dLbls>
          <c:cat>
            <c:strLit>
              <c:ptCount val="4"/>
              <c:pt idx="0">
                <c:v>Kiállítások, előadások</c:v>
              </c:pt>
              <c:pt idx="1">
                <c:v>Gyermekprogramok</c:v>
              </c:pt>
              <c:pt idx="2">
                <c:v>Közösségi találkozók</c:v>
              </c:pt>
              <c:pt idx="3">
                <c:v>Turisztikai és helyi információs...</c:v>
              </c:pt>
            </c:strLit>
          </c:cat>
          <c:val>
            <c:numLit>
              <c:ptCount val="4"/>
              <c:pt idx="0">
                <c:v>77</c:v>
              </c:pt>
              <c:pt idx="1">
                <c:v>64</c:v>
              </c:pt>
              <c:pt idx="2">
                <c:v>87</c:v>
              </c:pt>
              <c:pt idx="3">
                <c:v>49</c:v>
              </c:pt>
            </c:numLit>
          </c:val>
        </c:ser>
        <c:ser>
          <c:idx val="4"/>
          <c:order val="4"/>
          <c:tx>
            <c:strRef>
              <c:strCache>
                <c:ptCount val="1"/>
                <c:pt idx="0">
                  <c:v>5</c:v>
                </c:pt>
              </c:strCache>
            </c:strRef>
          </c:tx>
          <c:dLbls>
            <c:showVal val="1"/>
            <c:showCatName val="0"/>
            <c:showLegendKey val="0"/>
            <c:showSerName val="0"/>
            <c:showPercent val="1"/>
            <c:showLeaderLines val="0"/>
            <c:showBubbleSize val="0"/>
          </c:dLbls>
          <c:cat>
            <c:strLit>
              <c:ptCount val="4"/>
              <c:pt idx="0">
                <c:v>Kiállítások, előadások</c:v>
              </c:pt>
              <c:pt idx="1">
                <c:v>Gyermekprogramok</c:v>
              </c:pt>
              <c:pt idx="2">
                <c:v>Közösségi találkozók</c:v>
              </c:pt>
              <c:pt idx="3">
                <c:v>Turisztikai és helyi információs...</c:v>
              </c:pt>
            </c:strLit>
          </c:cat>
          <c:val>
            <c:numLit>
              <c:ptCount val="4"/>
              <c:pt idx="0">
                <c:v>226</c:v>
              </c:pt>
              <c:pt idx="1">
                <c:v>187</c:v>
              </c:pt>
              <c:pt idx="2">
                <c:v>205</c:v>
              </c:pt>
              <c:pt idx="3">
                <c:v>140</c:v>
              </c:pt>
            </c:numLit>
          </c:val>
        </c:ser>
        <c:overlap val="100"/>
        <c:axId val="1"/>
        <c:axId val="2"/>
      </c:barChart>
      <c:catAx>
        <c:axId val="1"/>
        <c:axPos val="b"/>
        <c:crossAx val="2"/>
        <c:auto val="1"/>
        <c:delete val="0"/>
        <c:majorTickMark val="none"/>
        <c:minorTickMark val="none"/>
        <c:tickLblPos val="nextTo"/>
        <c:crosses val="autoZero"/>
        <c:majorGridlines/>
        <c:scaling>
          <c:orientation val="minMax"/>
        </c:scaling>
        <c:spPr>
          <a:ln>
            <a:solidFill/>
          </a:ln>
        </c:spPr>
      </c:catAx>
      <c:valAx>
        <c:axId val="2"/>
        <c:axPos val="l"/>
        <c:crossAx val="1"/>
        <c:auto val="1"/>
        <c:delete val="0"/>
        <c:majorTickMark val="none"/>
        <c:minorTickMark val="none"/>
        <c:tickLblPos val="nextTo"/>
        <c:crosses val="autoZero"/>
        <c:majorGridlines/>
        <c:scaling>
          <c:orientation val="minMax"/>
        </c:scaling>
        <c:spPr>
          <a:ln>
            <a:solidFill/>
          </a:ln>
        </c:spPr>
      </c:valAx>
    </c:plotArea>
  </c:chart>
  <c:spPr>
    <a:ln>
      <a:noFill/>
    </a:ln>
  </c:spPr>
</c:chartSpace>
</file>

<file path=word/charts/chart13.xml><?xml version="1.0" encoding="utf-8"?>
<c:chartSpace xmlns:c="http://schemas.openxmlformats.org/drawingml/2006/chart" xmlns:a="http://schemas.openxmlformats.org/drawingml/2006/main" xmlns:r="http://schemas.openxmlformats.org/officeDocument/2006/relationships">
  <c:chart>
    <c:autoTitleDeleted val="1"/>
    <c:legend>
      <c:legendPos val="r"/>
    </c:legend>
    <c:plotArea>
      <c:layout/>
      <c:barChart>
        <c:varyColors val="0"/>
        <c:barDir val="col"/>
        <c:grouping val="stacked"/>
        <c:ser>
          <c:idx val="0"/>
          <c:order val="0"/>
          <c:tx>
            <c:strRef>
              <c:strCache>
                <c:ptCount val="1"/>
                <c:pt idx="0">
                  <c:v>1</c:v>
                </c:pt>
              </c:strCache>
            </c:strRef>
          </c:tx>
          <c:dLbls>
            <c:showVal val="1"/>
            <c:showCatName val="0"/>
            <c:showLegendKey val="0"/>
            <c:showSerName val="0"/>
            <c:showPercent val="1"/>
            <c:showLeaderLines val="0"/>
            <c:showBubbleSize val="0"/>
          </c:dLbls>
          <c:cat>
            <c:strLit>
              <c:ptCount val="4"/>
              <c:pt idx="0">
                <c:v>Klasszikus padok háttámlával</c:v>
              </c:pt>
              <c:pt idx="1">
                <c:v>Egyszerű ülőtömbok (pl. beton, fa)</c:v>
              </c:pt>
              <c:pt idx="2">
                <c:v>Többfunkciós, USB töltős vagy wi...</c:v>
              </c:pt>
              <c:pt idx="3">
                <c:v>Pad asztallal</c:v>
              </c:pt>
            </c:strLit>
          </c:cat>
          <c:val>
            <c:numLit>
              <c:ptCount val="4"/>
              <c:pt idx="0">
                <c:v>35</c:v>
              </c:pt>
              <c:pt idx="1">
                <c:v>116</c:v>
              </c:pt>
              <c:pt idx="2">
                <c:v>89</c:v>
              </c:pt>
              <c:pt idx="3">
                <c:v>60</c:v>
              </c:pt>
            </c:numLit>
          </c:val>
        </c:ser>
        <c:ser>
          <c:idx val="1"/>
          <c:order val="1"/>
          <c:tx>
            <c:strRef>
              <c:strCache>
                <c:ptCount val="1"/>
                <c:pt idx="0">
                  <c:v>2</c:v>
                </c:pt>
              </c:strCache>
            </c:strRef>
          </c:tx>
          <c:dLbls>
            <c:showVal val="1"/>
            <c:showCatName val="0"/>
            <c:showLegendKey val="0"/>
            <c:showSerName val="0"/>
            <c:showPercent val="1"/>
            <c:showLeaderLines val="0"/>
            <c:showBubbleSize val="0"/>
          </c:dLbls>
          <c:cat>
            <c:strLit>
              <c:ptCount val="4"/>
              <c:pt idx="0">
                <c:v>Klasszikus padok háttámlával</c:v>
              </c:pt>
              <c:pt idx="1">
                <c:v>Egyszerű ülőtömbok (pl. beton, fa)</c:v>
              </c:pt>
              <c:pt idx="2">
                <c:v>Többfunkciós, USB töltős vagy wi...</c:v>
              </c:pt>
              <c:pt idx="3">
                <c:v>Pad asztallal</c:v>
              </c:pt>
            </c:strLit>
          </c:cat>
          <c:val>
            <c:numLit>
              <c:ptCount val="4"/>
              <c:pt idx="0">
                <c:v>17</c:v>
              </c:pt>
              <c:pt idx="1">
                <c:v>59</c:v>
              </c:pt>
              <c:pt idx="2">
                <c:v>26</c:v>
              </c:pt>
              <c:pt idx="3">
                <c:v>18</c:v>
              </c:pt>
            </c:numLit>
          </c:val>
        </c:ser>
        <c:ser>
          <c:idx val="2"/>
          <c:order val="2"/>
          <c:tx>
            <c:strRef>
              <c:strCache>
                <c:ptCount val="1"/>
                <c:pt idx="0">
                  <c:v>3</c:v>
                </c:pt>
              </c:strCache>
            </c:strRef>
          </c:tx>
          <c:dLbls>
            <c:showVal val="1"/>
            <c:showCatName val="0"/>
            <c:showLegendKey val="0"/>
            <c:showSerName val="0"/>
            <c:showPercent val="1"/>
            <c:showLeaderLines val="0"/>
            <c:showBubbleSize val="0"/>
          </c:dLbls>
          <c:cat>
            <c:strLit>
              <c:ptCount val="4"/>
              <c:pt idx="0">
                <c:v>Klasszikus padok háttámlával</c:v>
              </c:pt>
              <c:pt idx="1">
                <c:v>Egyszerű ülőtömbok (pl. beton, fa)</c:v>
              </c:pt>
              <c:pt idx="2">
                <c:v>Többfunkciós, USB töltős vagy wi...</c:v>
              </c:pt>
              <c:pt idx="3">
                <c:v>Pad asztallal</c:v>
              </c:pt>
            </c:strLit>
          </c:cat>
          <c:val>
            <c:numLit>
              <c:ptCount val="4"/>
              <c:pt idx="0">
                <c:v>44</c:v>
              </c:pt>
              <c:pt idx="1">
                <c:v>86</c:v>
              </c:pt>
              <c:pt idx="2">
                <c:v>78</c:v>
              </c:pt>
              <c:pt idx="3">
                <c:v>69</c:v>
              </c:pt>
            </c:numLit>
          </c:val>
        </c:ser>
        <c:ser>
          <c:idx val="3"/>
          <c:order val="3"/>
          <c:tx>
            <c:strRef>
              <c:strCache>
                <c:ptCount val="1"/>
                <c:pt idx="0">
                  <c:v>4</c:v>
                </c:pt>
              </c:strCache>
            </c:strRef>
          </c:tx>
          <c:dLbls>
            <c:showVal val="1"/>
            <c:showCatName val="0"/>
            <c:showLegendKey val="0"/>
            <c:showSerName val="0"/>
            <c:showPercent val="1"/>
            <c:showLeaderLines val="0"/>
            <c:showBubbleSize val="0"/>
          </c:dLbls>
          <c:cat>
            <c:strLit>
              <c:ptCount val="4"/>
              <c:pt idx="0">
                <c:v>Klasszikus padok háttámlával</c:v>
              </c:pt>
              <c:pt idx="1">
                <c:v>Egyszerű ülőtömbok (pl. beton, fa)</c:v>
              </c:pt>
              <c:pt idx="2">
                <c:v>Többfunkciós, USB töltős vagy wi...</c:v>
              </c:pt>
              <c:pt idx="3">
                <c:v>Pad asztallal</c:v>
              </c:pt>
            </c:strLit>
          </c:cat>
          <c:val>
            <c:numLit>
              <c:ptCount val="4"/>
              <c:pt idx="0">
                <c:v>62</c:v>
              </c:pt>
              <c:pt idx="1">
                <c:v>38</c:v>
              </c:pt>
              <c:pt idx="2">
                <c:v>48</c:v>
              </c:pt>
              <c:pt idx="3">
                <c:v>69</c:v>
              </c:pt>
            </c:numLit>
          </c:val>
        </c:ser>
        <c:ser>
          <c:idx val="4"/>
          <c:order val="4"/>
          <c:tx>
            <c:strRef>
              <c:strCache>
                <c:ptCount val="1"/>
                <c:pt idx="0">
                  <c:v>5</c:v>
                </c:pt>
              </c:strCache>
            </c:strRef>
          </c:tx>
          <c:dLbls>
            <c:showVal val="1"/>
            <c:showCatName val="0"/>
            <c:showLegendKey val="0"/>
            <c:showSerName val="0"/>
            <c:showPercent val="1"/>
            <c:showLeaderLines val="0"/>
            <c:showBubbleSize val="0"/>
          </c:dLbls>
          <c:cat>
            <c:strLit>
              <c:ptCount val="4"/>
              <c:pt idx="0">
                <c:v>Klasszikus padok háttámlával</c:v>
              </c:pt>
              <c:pt idx="1">
                <c:v>Egyszerű ülőtömbok (pl. beton, fa)</c:v>
              </c:pt>
              <c:pt idx="2">
                <c:v>Többfunkciós, USB töltős vagy wi...</c:v>
              </c:pt>
              <c:pt idx="3">
                <c:v>Pad asztallal</c:v>
              </c:pt>
            </c:strLit>
          </c:cat>
          <c:val>
            <c:numLit>
              <c:ptCount val="4"/>
              <c:pt idx="0">
                <c:v>246</c:v>
              </c:pt>
              <c:pt idx="1">
                <c:v>60</c:v>
              </c:pt>
              <c:pt idx="2">
                <c:v>139</c:v>
              </c:pt>
              <c:pt idx="3">
                <c:v>166</c:v>
              </c:pt>
            </c:numLit>
          </c:val>
        </c:ser>
        <c:overlap val="100"/>
        <c:axId val="1"/>
        <c:axId val="2"/>
      </c:barChart>
      <c:catAx>
        <c:axId val="1"/>
        <c:axPos val="b"/>
        <c:crossAx val="2"/>
        <c:auto val="1"/>
        <c:delete val="0"/>
        <c:majorTickMark val="none"/>
        <c:minorTickMark val="none"/>
        <c:tickLblPos val="nextTo"/>
        <c:crosses val="autoZero"/>
        <c:majorGridlines/>
        <c:scaling>
          <c:orientation val="minMax"/>
        </c:scaling>
        <c:spPr>
          <a:ln>
            <a:solidFill/>
          </a:ln>
        </c:spPr>
      </c:catAx>
      <c:valAx>
        <c:axId val="2"/>
        <c:axPos val="l"/>
        <c:crossAx val="1"/>
        <c:auto val="1"/>
        <c:delete val="0"/>
        <c:majorTickMark val="none"/>
        <c:minorTickMark val="none"/>
        <c:tickLblPos val="nextTo"/>
        <c:crosses val="autoZero"/>
        <c:majorGridlines/>
        <c:scaling>
          <c:orientation val="minMax"/>
        </c:scaling>
        <c:spPr>
          <a:ln>
            <a:solidFill/>
          </a:ln>
        </c:spPr>
      </c:valAx>
    </c:plotArea>
  </c:chart>
  <c:spPr>
    <a:ln>
      <a:noFill/>
    </a:ln>
  </c:spPr>
</c:chartSpace>
</file>

<file path=word/charts/chart14.xml><?xml version="1.0" encoding="utf-8"?>
<c:chartSpace xmlns:c="http://schemas.openxmlformats.org/drawingml/2006/chart" xmlns:a="http://schemas.openxmlformats.org/drawingml/2006/main" xmlns:r="http://schemas.openxmlformats.org/officeDocument/2006/relationships">
  <c:chart>
    <c:autoTitleDeleted val="1"/>
    <c:legend>
      <c:legendPos val="r"/>
    </c:legend>
    <c:plotArea>
      <c:layout/>
      <c:pieChart>
        <c:varyColors val="1"/>
        <c:ser>
          <c:idx val="0"/>
          <c:order val="0"/>
          <c:tx>
            <c:strRef>
              <c:strCache>
                <c:ptCount val="1"/>
                <c:pt idx="0">
                  <c:v>Mennyire fontos Önnek, hogy minél több természetközeli virágos jellegű évelő és díszfüves zöldfelület legyen a területen?</c:v>
                </c:pt>
              </c:strCache>
            </c:strRef>
          </c:tx>
          <c:dLbls>
            <c:showVal val="1"/>
            <c:showCatName val="0"/>
            <c:showLegendKey val="0"/>
            <c:showSerName val="0"/>
            <c:showPercent val="1"/>
            <c:showLeaderLines val="0"/>
            <c:showBubbleSize val="0"/>
          </c:dLbls>
          <c:cat>
            <c:strLit>
              <c:ptCount val="5"/>
              <c:pt idx="0">
                <c:v>1</c:v>
              </c:pt>
              <c:pt idx="1">
                <c:v>2</c:v>
              </c:pt>
              <c:pt idx="2">
                <c:v>3</c:v>
              </c:pt>
              <c:pt idx="3">
                <c:v>4</c:v>
              </c:pt>
              <c:pt idx="4">
                <c:v>5</c:v>
              </c:pt>
            </c:strLit>
          </c:cat>
          <c:val>
            <c:numLit>
              <c:ptCount val="5"/>
              <c:pt idx="0">
                <c:v>13</c:v>
              </c:pt>
              <c:pt idx="1">
                <c:v>5</c:v>
              </c:pt>
              <c:pt idx="2">
                <c:v>25</c:v>
              </c:pt>
              <c:pt idx="3">
                <c:v>58</c:v>
              </c:pt>
              <c:pt idx="4">
                <c:v>322</c:v>
              </c:pt>
            </c:numLit>
          </c:val>
        </c:ser>
        <c:overlap val="100"/>
      </c:pieChart>
    </c:plotArea>
  </c:chart>
  <c:spPr>
    <a:ln>
      <a:noFill/>
    </a:ln>
  </c:spPr>
</c:chartSpace>
</file>

<file path=word/charts/chart15.xml><?xml version="1.0" encoding="utf-8"?>
<c:chartSpace xmlns:c="http://schemas.openxmlformats.org/drawingml/2006/chart" xmlns:a="http://schemas.openxmlformats.org/drawingml/2006/main" xmlns:r="http://schemas.openxmlformats.org/officeDocument/2006/relationships">
  <c:chart>
    <c:autoTitleDeleted val="1"/>
    <c:legend>
      <c:legendPos val="r"/>
    </c:legend>
    <c:plotArea>
      <c:layout/>
      <c:pieChart>
        <c:varyColors val="1"/>
        <c:ser>
          <c:idx val="0"/>
          <c:order val="0"/>
          <c:tx>
            <c:strRef>
              <c:strCache>
                <c:ptCount val="1"/>
                <c:pt idx="0">
                  <c:v>Mennyire fontos Önnek, hogy egynyári virágos zöldfelület is legyen?</c:v>
                </c:pt>
              </c:strCache>
            </c:strRef>
          </c:tx>
          <c:dLbls>
            <c:showVal val="1"/>
            <c:showCatName val="0"/>
            <c:showLegendKey val="0"/>
            <c:showSerName val="0"/>
            <c:showPercent val="1"/>
            <c:showLeaderLines val="0"/>
            <c:showBubbleSize val="0"/>
          </c:dLbls>
          <c:cat>
            <c:strLit>
              <c:ptCount val="5"/>
              <c:pt idx="0">
                <c:v>1</c:v>
              </c:pt>
              <c:pt idx="1">
                <c:v>2</c:v>
              </c:pt>
              <c:pt idx="2">
                <c:v>3</c:v>
              </c:pt>
              <c:pt idx="3">
                <c:v>4</c:v>
              </c:pt>
              <c:pt idx="4">
                <c:v>5</c:v>
              </c:pt>
            </c:strLit>
          </c:cat>
          <c:val>
            <c:numLit>
              <c:ptCount val="5"/>
              <c:pt idx="0">
                <c:v>38</c:v>
              </c:pt>
              <c:pt idx="1">
                <c:v>31</c:v>
              </c:pt>
              <c:pt idx="2">
                <c:v>78</c:v>
              </c:pt>
              <c:pt idx="3">
                <c:v>88</c:v>
              </c:pt>
              <c:pt idx="4">
                <c:v>188</c:v>
              </c:pt>
            </c:numLit>
          </c:val>
        </c:ser>
        <c:overlap val="100"/>
      </c:pieChart>
    </c:plotArea>
  </c:chart>
  <c:spPr>
    <a:ln>
      <a:noFill/>
    </a:ln>
  </c:spPr>
</c:chartSpace>
</file>

<file path=word/charts/chart16.xml><?xml version="1.0" encoding="utf-8"?>
<c:chartSpace xmlns:c="http://schemas.openxmlformats.org/drawingml/2006/chart" xmlns:a="http://schemas.openxmlformats.org/drawingml/2006/main" xmlns:r="http://schemas.openxmlformats.org/officeDocument/2006/relationships">
  <c:chart>
    <c:autoTitleDeleted val="1"/>
    <c:legend>
      <c:legendPos val="r"/>
    </c:legend>
    <c:plotArea>
      <c:layout/>
      <c:pieChart>
        <c:varyColors val="1"/>
        <c:ser>
          <c:idx val="0"/>
          <c:order val="0"/>
          <c:tx>
            <c:strRef>
              <c:strCache>
                <c:ptCount val="1"/>
                <c:pt idx="0">
                  <c:v>Ön szerint milyen színvilág alakítaná leginkább az iskola előtti tér hangulatát?</c:v>
                </c:pt>
              </c:strCache>
            </c:strRef>
          </c:tx>
          <c:dLbls>
            <c:showVal val="1"/>
            <c:showCatName val="0"/>
            <c:showLegendKey val="0"/>
            <c:showSerName val="0"/>
            <c:showPercent val="1"/>
            <c:showLeaderLines val="0"/>
            <c:showBubbleSize val="0"/>
          </c:dLbls>
          <c:cat>
            <c:strLit>
              <c:ptCount val="3"/>
              <c:pt idx="0">
                <c:v>Természetes fa / natúr színek</c:v>
              </c:pt>
              <c:pt idx="1">
                <c:v>Élénk, gyerekbarát színek</c:v>
              </c:pt>
              <c:pt idx="2">
                <c:v>Semleges, városi színek (szürkés...</c:v>
              </c:pt>
            </c:strLit>
          </c:cat>
          <c:val>
            <c:numLit>
              <c:ptCount val="3"/>
              <c:pt idx="0">
                <c:v>242</c:v>
              </c:pt>
              <c:pt idx="1">
                <c:v>172</c:v>
              </c:pt>
              <c:pt idx="2">
                <c:v>9</c:v>
              </c:pt>
            </c:numLit>
          </c:val>
        </c:ser>
        <c:overlap val="100"/>
      </c:pieChart>
    </c:plotArea>
  </c:chart>
  <c:spPr>
    <a:ln>
      <a:noFill/>
    </a:ln>
  </c:spPr>
</c:chartSpace>
</file>

<file path=word/charts/chart2.xml><?xml version="1.0" encoding="utf-8"?>
<c:chartSpace xmlns:c="http://schemas.openxmlformats.org/drawingml/2006/chart" xmlns:a="http://schemas.openxmlformats.org/drawingml/2006/main" xmlns:r="http://schemas.openxmlformats.org/officeDocument/2006/relationships">
  <c:chart>
    <c:autoTitleDeleted val="1"/>
    <c:legend>
      <c:legendPos val="r"/>
    </c:legend>
    <c:plotArea>
      <c:layout/>
      <c:pieChart>
        <c:varyColors val="1"/>
        <c:ser>
          <c:idx val="0"/>
          <c:order val="0"/>
          <c:tx>
            <c:strRef>
              <c:strCache>
                <c:ptCount val="1"/>
                <c:pt idx="0">
                  <c:v>Milyen gyakran jár ezekben az utcákban?</c:v>
                </c:pt>
              </c:strCache>
            </c:strRef>
          </c:tx>
          <c:dLbls>
            <c:showVal val="1"/>
            <c:showCatName val="0"/>
            <c:showLegendKey val="0"/>
            <c:showSerName val="0"/>
            <c:showPercent val="1"/>
            <c:showLeaderLines val="0"/>
            <c:showBubbleSize val="0"/>
          </c:dLbls>
          <c:cat>
            <c:strLit>
              <c:ptCount val="4"/>
              <c:pt idx="0">
                <c:v>naponta</c:v>
              </c:pt>
              <c:pt idx="1">
                <c:v>hetente</c:v>
              </c:pt>
              <c:pt idx="2">
                <c:v>havonta</c:v>
              </c:pt>
              <c:pt idx="3">
                <c:v>ritkábban, alkalmanként</c:v>
              </c:pt>
            </c:strLit>
          </c:cat>
          <c:val>
            <c:numLit>
              <c:ptCount val="4"/>
              <c:pt idx="0">
                <c:v>143</c:v>
              </c:pt>
              <c:pt idx="1">
                <c:v>193</c:v>
              </c:pt>
              <c:pt idx="2">
                <c:v>60</c:v>
              </c:pt>
              <c:pt idx="3">
                <c:v>27</c:v>
              </c:pt>
            </c:numLit>
          </c:val>
        </c:ser>
        <c:overlap val="100"/>
      </c:pieChart>
    </c:plotArea>
  </c:chart>
  <c:spPr>
    <a:ln>
      <a:noFill/>
    </a:ln>
  </c:spPr>
</c:chartSpace>
</file>

<file path=word/charts/chart3.xml><?xml version="1.0" encoding="utf-8"?>
<c:chartSpace xmlns:c="http://schemas.openxmlformats.org/drawingml/2006/chart" xmlns:a="http://schemas.openxmlformats.org/drawingml/2006/main" xmlns:r="http://schemas.openxmlformats.org/officeDocument/2006/relationships">
  <c:chart>
    <c:autoTitleDeleted val="1"/>
    <c:plotArea>
      <c:layout/>
      <c:barChart>
        <c:varyColors val="0"/>
        <c:barDir val="col"/>
        <c:grouping val="clustered"/>
        <c:ser>
          <c:idx val="0"/>
          <c:order val="0"/>
          <c:tx>
            <c:strRef>
              <c:strCache>
                <c:ptCount val="1"/>
                <c:pt idx="0">
                  <c:v>A beavatkozási területet milyen minőségben használja?</c:v>
                </c:pt>
              </c:strCache>
            </c:strRef>
          </c:tx>
          <c:dLbls>
            <c:showVal val="1"/>
            <c:showCatName val="0"/>
            <c:showLegendKey val="0"/>
            <c:showSerName val="0"/>
            <c:showPercent val="1"/>
            <c:showLeaderLines val="0"/>
            <c:showBubbleSize val="0"/>
          </c:dLbls>
          <c:cat>
            <c:strLit>
              <c:ptCount val="7"/>
              <c:pt idx="0">
                <c:v>a területen lakom</c:v>
              </c:pt>
              <c:pt idx="1">
                <c:v>valamelyik intézményben, szolgál...</c:v>
              </c:pt>
              <c:pt idx="2">
                <c:v>nádasdys szülő vagyok</c:v>
              </c:pt>
              <c:pt idx="3">
                <c:v>valamilyen szolgáltatást veszek ...</c:v>
              </c:pt>
              <c:pt idx="4">
                <c:v>játszótérre járunk a gyerekekkel</c:v>
              </c:pt>
              <c:pt idx="5">
                <c:v>a templomba járok</c:v>
              </c:pt>
              <c:pt idx="6">
                <c:v>rendszeresen áthaladok</c:v>
              </c:pt>
            </c:strLit>
          </c:cat>
          <c:val>
            <c:numLit>
              <c:ptCount val="7"/>
              <c:pt idx="0">
                <c:v>37</c:v>
              </c:pt>
              <c:pt idx="1">
                <c:v>25</c:v>
              </c:pt>
              <c:pt idx="2">
                <c:v>17</c:v>
              </c:pt>
              <c:pt idx="3">
                <c:v>355</c:v>
              </c:pt>
              <c:pt idx="4">
                <c:v>82</c:v>
              </c:pt>
              <c:pt idx="5">
                <c:v>36</c:v>
              </c:pt>
              <c:pt idx="6">
                <c:v>224</c:v>
              </c:pt>
            </c:numLit>
          </c:val>
        </c:ser>
        <c:axId val="1"/>
        <c:axId val="2"/>
      </c:barChart>
      <c:catAx>
        <c:axId val="1"/>
        <c:axPos val="b"/>
        <c:crossAx val="2"/>
        <c:auto val="1"/>
        <c:delete val="0"/>
        <c:majorTickMark val="none"/>
        <c:minorTickMark val="none"/>
        <c:tickLblPos val="nextTo"/>
        <c:crosses val="autoZero"/>
        <c:majorGridlines/>
        <c:scaling>
          <c:orientation val="minMax"/>
        </c:scaling>
        <c:spPr>
          <a:ln>
            <a:solidFill/>
          </a:ln>
        </c:spPr>
      </c:catAx>
      <c:valAx>
        <c:axId val="2"/>
        <c:axPos val="l"/>
        <c:crossAx val="1"/>
        <c:auto val="1"/>
        <c:delete val="0"/>
        <c:majorTickMark val="none"/>
        <c:minorTickMark val="none"/>
        <c:tickLblPos val="nextTo"/>
        <c:crosses val="autoZero"/>
        <c:majorGridlines/>
        <c:scaling>
          <c:orientation val="minMax"/>
        </c:scaling>
        <c:spPr>
          <a:ln>
            <a:solidFill/>
          </a:ln>
        </c:spPr>
      </c:valAx>
    </c:plotArea>
  </c:chart>
  <c:spPr>
    <a:ln>
      <a:noFill/>
    </a:ln>
  </c:spPr>
</c:chartSpace>
</file>

<file path=word/charts/chart4.xml><?xml version="1.0" encoding="utf-8"?>
<c:chartSpace xmlns:c="http://schemas.openxmlformats.org/drawingml/2006/chart" xmlns:a="http://schemas.openxmlformats.org/drawingml/2006/main" xmlns:r="http://schemas.openxmlformats.org/officeDocument/2006/relationships">
  <c:chart>
    <c:autoTitleDeleted val="1"/>
    <c:plotArea>
      <c:layout/>
      <c:barChart>
        <c:varyColors val="0"/>
        <c:barDir val="col"/>
        <c:grouping val="clustered"/>
        <c:ser>
          <c:idx val="0"/>
          <c:order val="0"/>
          <c:tx>
            <c:strRef>
              <c:strCache>
                <c:ptCount val="1"/>
                <c:pt idx="0">
                  <c:v>Milyen közlekedési módot használ ezen a területen?</c:v>
                </c:pt>
              </c:strCache>
            </c:strRef>
          </c:tx>
          <c:dLbls>
            <c:showVal val="1"/>
            <c:showCatName val="0"/>
            <c:showLegendKey val="0"/>
            <c:showSerName val="0"/>
            <c:showPercent val="1"/>
            <c:showLeaderLines val="0"/>
            <c:showBubbleSize val="0"/>
          </c:dLbls>
          <c:cat>
            <c:strLit>
              <c:ptCount val="4"/>
              <c:pt idx="0">
                <c:v>gyalogolok</c:v>
              </c:pt>
              <c:pt idx="1">
                <c:v>kerékpárral, rollerrel közlekedem</c:v>
              </c:pt>
              <c:pt idx="2">
                <c:v>autóval</c:v>
              </c:pt>
              <c:pt idx="3">
                <c:v>autóbusszal</c:v>
              </c:pt>
            </c:strLit>
          </c:cat>
          <c:val>
            <c:numLit>
              <c:ptCount val="4"/>
              <c:pt idx="0">
                <c:v>315</c:v>
              </c:pt>
              <c:pt idx="1">
                <c:v>70</c:v>
              </c:pt>
              <c:pt idx="2">
                <c:v>264</c:v>
              </c:pt>
              <c:pt idx="3">
                <c:v>126</c:v>
              </c:pt>
            </c:numLit>
          </c:val>
        </c:ser>
        <c:axId val="1"/>
        <c:axId val="2"/>
      </c:barChart>
      <c:catAx>
        <c:axId val="1"/>
        <c:axPos val="b"/>
        <c:crossAx val="2"/>
        <c:auto val="1"/>
        <c:delete val="0"/>
        <c:majorTickMark val="none"/>
        <c:minorTickMark val="none"/>
        <c:tickLblPos val="nextTo"/>
        <c:crosses val="autoZero"/>
        <c:majorGridlines/>
        <c:scaling>
          <c:orientation val="minMax"/>
        </c:scaling>
        <c:spPr>
          <a:ln>
            <a:solidFill/>
          </a:ln>
        </c:spPr>
      </c:catAx>
      <c:valAx>
        <c:axId val="2"/>
        <c:axPos val="l"/>
        <c:crossAx val="1"/>
        <c:auto val="1"/>
        <c:delete val="0"/>
        <c:majorTickMark val="none"/>
        <c:minorTickMark val="none"/>
        <c:tickLblPos val="nextTo"/>
        <c:crosses val="autoZero"/>
        <c:majorGridlines/>
        <c:scaling>
          <c:orientation val="minMax"/>
        </c:scaling>
        <c:spPr>
          <a:ln>
            <a:solidFill/>
          </a:ln>
        </c:spPr>
      </c:valAx>
    </c:plotArea>
  </c:chart>
  <c:spPr>
    <a:ln>
      <a:noFill/>
    </a:ln>
  </c:spPr>
</c:chartSpace>
</file>

<file path=word/charts/chart5.xml><?xml version="1.0" encoding="utf-8"?>
<c:chartSpace xmlns:c="http://schemas.openxmlformats.org/drawingml/2006/chart" xmlns:a="http://schemas.openxmlformats.org/drawingml/2006/main" xmlns:r="http://schemas.openxmlformats.org/officeDocument/2006/relationships">
  <c:chart>
    <c:autoTitleDeleted val="1"/>
    <c:plotArea>
      <c:layout/>
      <c:barChart>
        <c:varyColors val="0"/>
        <c:barDir val="col"/>
        <c:grouping val="clustered"/>
        <c:ser>
          <c:idx val="0"/>
          <c:order val="0"/>
          <c:tx>
            <c:strRef>
              <c:strCache>
                <c:ptCount val="1"/>
                <c:pt idx="0">
                  <c:v>Szokott-e parkolni ezen a területen, vagy a szorosan vett környékén?</c:v>
                </c:pt>
              </c:strCache>
            </c:strRef>
          </c:tx>
          <c:dLbls>
            <c:showVal val="1"/>
            <c:showCatName val="0"/>
            <c:showLegendKey val="0"/>
            <c:showSerName val="0"/>
            <c:showPercent val="1"/>
            <c:showLeaderLines val="0"/>
            <c:showBubbleSize val="0"/>
          </c:dLbls>
          <c:cat>
            <c:strLit>
              <c:ptCount val="4"/>
              <c:pt idx="0">
                <c:v>a közterületen parkolok rendszer...</c:v>
              </c:pt>
              <c:pt idx="1">
                <c:v>maximum pár órát várakozom</c:v>
              </c:pt>
              <c:pt idx="2">
                <c:v>csak rövid ideig várakozom - max...</c:v>
              </c:pt>
              <c:pt idx="3">
                <c:v>nem szoktam itt parkolni</c:v>
              </c:pt>
            </c:strLit>
          </c:cat>
          <c:val>
            <c:numLit>
              <c:ptCount val="4"/>
              <c:pt idx="0">
                <c:v>56</c:v>
              </c:pt>
              <c:pt idx="1">
                <c:v>118</c:v>
              </c:pt>
              <c:pt idx="2">
                <c:v>151</c:v>
              </c:pt>
              <c:pt idx="3">
                <c:v>133</c:v>
              </c:pt>
            </c:numLit>
          </c:val>
        </c:ser>
        <c:axId val="1"/>
        <c:axId val="2"/>
      </c:barChart>
      <c:catAx>
        <c:axId val="1"/>
        <c:axPos val="b"/>
        <c:crossAx val="2"/>
        <c:auto val="1"/>
        <c:delete val="0"/>
        <c:majorTickMark val="none"/>
        <c:minorTickMark val="none"/>
        <c:tickLblPos val="nextTo"/>
        <c:crosses val="autoZero"/>
        <c:majorGridlines/>
        <c:scaling>
          <c:orientation val="minMax"/>
        </c:scaling>
        <c:spPr>
          <a:ln>
            <a:solidFill/>
          </a:ln>
        </c:spPr>
      </c:catAx>
      <c:valAx>
        <c:axId val="2"/>
        <c:axPos val="l"/>
        <c:crossAx val="1"/>
        <c:auto val="1"/>
        <c:delete val="0"/>
        <c:majorTickMark val="none"/>
        <c:minorTickMark val="none"/>
        <c:tickLblPos val="nextTo"/>
        <c:crosses val="autoZero"/>
        <c:majorGridlines/>
        <c:scaling>
          <c:orientation val="minMax"/>
        </c:scaling>
        <c:spPr>
          <a:ln>
            <a:solidFill/>
          </a:ln>
        </c:spPr>
      </c:valAx>
    </c:plotArea>
  </c:chart>
  <c:spPr>
    <a:ln>
      <a:noFill/>
    </a:ln>
  </c:spPr>
</c:chartSpace>
</file>

<file path=word/charts/chart6.xml><?xml version="1.0" encoding="utf-8"?>
<c:chartSpace xmlns:c="http://schemas.openxmlformats.org/drawingml/2006/chart" xmlns:a="http://schemas.openxmlformats.org/drawingml/2006/main" xmlns:r="http://schemas.openxmlformats.org/officeDocument/2006/relationships">
  <c:chart>
    <c:autoTitleDeleted val="1"/>
    <c:legend>
      <c:legendPos val="r"/>
    </c:legend>
    <c:plotArea>
      <c:layout/>
      <c:barChart>
        <c:varyColors val="0"/>
        <c:barDir val="col"/>
        <c:grouping val="stacked"/>
        <c:ser>
          <c:idx val="0"/>
          <c:order val="0"/>
          <c:tx>
            <c:strRef>
              <c:strCache>
                <c:ptCount val="1"/>
                <c:pt idx="0">
                  <c:v>1</c:v>
                </c:pt>
              </c:strCache>
            </c:strRef>
          </c:tx>
          <c:dLbls>
            <c:showVal val="1"/>
            <c:showCatName val="0"/>
            <c:showLegendKey val="0"/>
            <c:showSerName val="0"/>
            <c:showPercent val="1"/>
            <c:showLeaderLines val="0"/>
            <c:showBubbleSize val="0"/>
          </c:dLbls>
          <c:cat>
            <c:strLit>
              <c:ptCount val="5"/>
              <c:pt idx="0">
                <c:v>Klasszikus padok háttámlával</c:v>
              </c:pt>
              <c:pt idx="1">
                <c:v>Egyszerű ülőtömbök (pl. beton, fa)</c:v>
              </c:pt>
              <c:pt idx="2">
                <c:v>Többfunkciós, USB töltős vagy wi...</c:v>
              </c:pt>
              <c:pt idx="3">
                <c:v>Pad asztallal</c:v>
              </c:pt>
              <c:pt idx="4">
                <c:v>Egyéb, játékos megoldások</c:v>
              </c:pt>
            </c:strLit>
          </c:cat>
          <c:val>
            <c:numLit>
              <c:ptCount val="5"/>
              <c:pt idx="0">
                <c:v>34</c:v>
              </c:pt>
              <c:pt idx="1">
                <c:v>121</c:v>
              </c:pt>
              <c:pt idx="2">
                <c:v>89</c:v>
              </c:pt>
              <c:pt idx="3">
                <c:v>52</c:v>
              </c:pt>
              <c:pt idx="4">
                <c:v>45</c:v>
              </c:pt>
            </c:numLit>
          </c:val>
        </c:ser>
        <c:ser>
          <c:idx val="1"/>
          <c:order val="1"/>
          <c:tx>
            <c:strRef>
              <c:strCache>
                <c:ptCount val="1"/>
                <c:pt idx="0">
                  <c:v>2</c:v>
                </c:pt>
              </c:strCache>
            </c:strRef>
          </c:tx>
          <c:dLbls>
            <c:showVal val="1"/>
            <c:showCatName val="0"/>
            <c:showLegendKey val="0"/>
            <c:showSerName val="0"/>
            <c:showPercent val="1"/>
            <c:showLeaderLines val="0"/>
            <c:showBubbleSize val="0"/>
          </c:dLbls>
          <c:cat>
            <c:strLit>
              <c:ptCount val="5"/>
              <c:pt idx="0">
                <c:v>Klasszikus padok háttámlával</c:v>
              </c:pt>
              <c:pt idx="1">
                <c:v>Egyszerű ülőtömbök (pl. beton, fa)</c:v>
              </c:pt>
              <c:pt idx="2">
                <c:v>Többfunkciós, USB töltős vagy wi...</c:v>
              </c:pt>
              <c:pt idx="3">
                <c:v>Pad asztallal</c:v>
              </c:pt>
              <c:pt idx="4">
                <c:v>Egyéb, játékos megoldások</c:v>
              </c:pt>
            </c:strLit>
          </c:cat>
          <c:val>
            <c:numLit>
              <c:ptCount val="5"/>
              <c:pt idx="0">
                <c:v>14</c:v>
              </c:pt>
              <c:pt idx="1">
                <c:v>73</c:v>
              </c:pt>
              <c:pt idx="2">
                <c:v>30</c:v>
              </c:pt>
              <c:pt idx="3">
                <c:v>23</c:v>
              </c:pt>
              <c:pt idx="4">
                <c:v>31</c:v>
              </c:pt>
            </c:numLit>
          </c:val>
        </c:ser>
        <c:ser>
          <c:idx val="2"/>
          <c:order val="2"/>
          <c:tx>
            <c:strRef>
              <c:strCache>
                <c:ptCount val="1"/>
                <c:pt idx="0">
                  <c:v>3</c:v>
                </c:pt>
              </c:strCache>
            </c:strRef>
          </c:tx>
          <c:dLbls>
            <c:showVal val="1"/>
            <c:showCatName val="0"/>
            <c:showLegendKey val="0"/>
            <c:showSerName val="0"/>
            <c:showPercent val="1"/>
            <c:showLeaderLines val="0"/>
            <c:showBubbleSize val="0"/>
          </c:dLbls>
          <c:cat>
            <c:strLit>
              <c:ptCount val="5"/>
              <c:pt idx="0">
                <c:v>Klasszikus padok háttámlával</c:v>
              </c:pt>
              <c:pt idx="1">
                <c:v>Egyszerű ülőtömbök (pl. beton, fa)</c:v>
              </c:pt>
              <c:pt idx="2">
                <c:v>Többfunkciós, USB töltős vagy wi...</c:v>
              </c:pt>
              <c:pt idx="3">
                <c:v>Pad asztallal</c:v>
              </c:pt>
              <c:pt idx="4">
                <c:v>Egyéb, játékos megoldások</c:v>
              </c:pt>
            </c:strLit>
          </c:cat>
          <c:val>
            <c:numLit>
              <c:ptCount val="5"/>
              <c:pt idx="0">
                <c:v>48</c:v>
              </c:pt>
              <c:pt idx="1">
                <c:v>74</c:v>
              </c:pt>
              <c:pt idx="2">
                <c:v>66</c:v>
              </c:pt>
              <c:pt idx="3">
                <c:v>74</c:v>
              </c:pt>
              <c:pt idx="4">
                <c:v>69</c:v>
              </c:pt>
            </c:numLit>
          </c:val>
        </c:ser>
        <c:ser>
          <c:idx val="3"/>
          <c:order val="3"/>
          <c:tx>
            <c:strRef>
              <c:strCache>
                <c:ptCount val="1"/>
                <c:pt idx="0">
                  <c:v>4</c:v>
                </c:pt>
              </c:strCache>
            </c:strRef>
          </c:tx>
          <c:dLbls>
            <c:showVal val="1"/>
            <c:showCatName val="0"/>
            <c:showLegendKey val="0"/>
            <c:showSerName val="0"/>
            <c:showPercent val="1"/>
            <c:showLeaderLines val="0"/>
            <c:showBubbleSize val="0"/>
          </c:dLbls>
          <c:cat>
            <c:strLit>
              <c:ptCount val="5"/>
              <c:pt idx="0">
                <c:v>Klasszikus padok háttámlával</c:v>
              </c:pt>
              <c:pt idx="1">
                <c:v>Egyszerű ülőtömbök (pl. beton, fa)</c:v>
              </c:pt>
              <c:pt idx="2">
                <c:v>Többfunkciós, USB töltős vagy wi...</c:v>
              </c:pt>
              <c:pt idx="3">
                <c:v>Pad asztallal</c:v>
              </c:pt>
              <c:pt idx="4">
                <c:v>Egyéb, játékos megoldások</c:v>
              </c:pt>
            </c:strLit>
          </c:cat>
          <c:val>
            <c:numLit>
              <c:ptCount val="5"/>
              <c:pt idx="0">
                <c:v>58</c:v>
              </c:pt>
              <c:pt idx="1">
                <c:v>33</c:v>
              </c:pt>
              <c:pt idx="2">
                <c:v>49</c:v>
              </c:pt>
              <c:pt idx="3">
                <c:v>66</c:v>
              </c:pt>
              <c:pt idx="4">
                <c:v>59</c:v>
              </c:pt>
            </c:numLit>
          </c:val>
        </c:ser>
        <c:ser>
          <c:idx val="4"/>
          <c:order val="4"/>
          <c:tx>
            <c:strRef>
              <c:strCache>
                <c:ptCount val="1"/>
                <c:pt idx="0">
                  <c:v>5</c:v>
                </c:pt>
              </c:strCache>
            </c:strRef>
          </c:tx>
          <c:dLbls>
            <c:showVal val="1"/>
            <c:showCatName val="0"/>
            <c:showLegendKey val="0"/>
            <c:showSerName val="0"/>
            <c:showPercent val="1"/>
            <c:showLeaderLines val="0"/>
            <c:showBubbleSize val="0"/>
          </c:dLbls>
          <c:cat>
            <c:strLit>
              <c:ptCount val="5"/>
              <c:pt idx="0">
                <c:v>Klasszikus padok háttámlával</c:v>
              </c:pt>
              <c:pt idx="1">
                <c:v>Egyszerű ülőtömbök (pl. beton, fa)</c:v>
              </c:pt>
              <c:pt idx="2">
                <c:v>Többfunkciós, USB töltős vagy wi...</c:v>
              </c:pt>
              <c:pt idx="3">
                <c:v>Pad asztallal</c:v>
              </c:pt>
              <c:pt idx="4">
                <c:v>Egyéb, játékos megoldások</c:v>
              </c:pt>
            </c:strLit>
          </c:cat>
          <c:val>
            <c:numLit>
              <c:ptCount val="5"/>
              <c:pt idx="0">
                <c:v>240</c:v>
              </c:pt>
              <c:pt idx="1">
                <c:v>53</c:v>
              </c:pt>
              <c:pt idx="2">
                <c:v>139</c:v>
              </c:pt>
              <c:pt idx="3">
                <c:v>165</c:v>
              </c:pt>
              <c:pt idx="4">
                <c:v>155</c:v>
              </c:pt>
            </c:numLit>
          </c:val>
        </c:ser>
        <c:overlap val="100"/>
        <c:axId val="1"/>
        <c:axId val="2"/>
      </c:barChart>
      <c:catAx>
        <c:axId val="1"/>
        <c:axPos val="b"/>
        <c:crossAx val="2"/>
        <c:auto val="1"/>
        <c:delete val="0"/>
        <c:majorTickMark val="none"/>
        <c:minorTickMark val="none"/>
        <c:tickLblPos val="nextTo"/>
        <c:crosses val="autoZero"/>
        <c:majorGridlines/>
        <c:scaling>
          <c:orientation val="minMax"/>
        </c:scaling>
        <c:spPr>
          <a:ln>
            <a:solidFill/>
          </a:ln>
        </c:spPr>
      </c:catAx>
      <c:valAx>
        <c:axId val="2"/>
        <c:axPos val="l"/>
        <c:crossAx val="1"/>
        <c:auto val="1"/>
        <c:delete val="0"/>
        <c:majorTickMark val="none"/>
        <c:minorTickMark val="none"/>
        <c:tickLblPos val="nextTo"/>
        <c:crosses val="autoZero"/>
        <c:majorGridlines/>
        <c:scaling>
          <c:orientation val="minMax"/>
        </c:scaling>
        <c:spPr>
          <a:ln>
            <a:solidFill/>
          </a:ln>
        </c:spPr>
      </c:valAx>
    </c:plotArea>
  </c:chart>
  <c:spPr>
    <a:ln>
      <a:noFill/>
    </a:ln>
  </c:spPr>
</c:chartSpace>
</file>

<file path=word/charts/chart7.xml><?xml version="1.0" encoding="utf-8"?>
<c:chartSpace xmlns:c="http://schemas.openxmlformats.org/drawingml/2006/chart" xmlns:a="http://schemas.openxmlformats.org/drawingml/2006/main" xmlns:r="http://schemas.openxmlformats.org/officeDocument/2006/relationships">
  <c:chart>
    <c:autoTitleDeleted val="1"/>
    <c:legend>
      <c:legendPos val="r"/>
    </c:legend>
    <c:plotArea>
      <c:layout/>
      <c:pieChart>
        <c:varyColors val="1"/>
        <c:ser>
          <c:idx val="0"/>
          <c:order val="0"/>
          <c:tx>
            <c:strRef>
              <c:strCache>
                <c:ptCount val="1"/>
                <c:pt idx="0">
                  <c:v>Mennyire fontos Önnek, hogy minél több természetközeli, virágos jellegű évelő és díszfüves (pl. pampafű) zöldfelület legyen a területen?</c:v>
                </c:pt>
              </c:strCache>
            </c:strRef>
          </c:tx>
          <c:dLbls>
            <c:showVal val="1"/>
            <c:showCatName val="0"/>
            <c:showLegendKey val="0"/>
            <c:showSerName val="0"/>
            <c:showPercent val="1"/>
            <c:showLeaderLines val="0"/>
            <c:showBubbleSize val="0"/>
          </c:dLbls>
          <c:cat>
            <c:strLit>
              <c:ptCount val="5"/>
              <c:pt idx="0">
                <c:v>1</c:v>
              </c:pt>
              <c:pt idx="1">
                <c:v>2</c:v>
              </c:pt>
              <c:pt idx="2">
                <c:v>3</c:v>
              </c:pt>
              <c:pt idx="3">
                <c:v>4</c:v>
              </c:pt>
              <c:pt idx="4">
                <c:v>5</c:v>
              </c:pt>
            </c:strLit>
          </c:cat>
          <c:val>
            <c:numLit>
              <c:ptCount val="5"/>
              <c:pt idx="0">
                <c:v>12</c:v>
              </c:pt>
              <c:pt idx="1">
                <c:v>9</c:v>
              </c:pt>
              <c:pt idx="2">
                <c:v>27</c:v>
              </c:pt>
              <c:pt idx="3">
                <c:v>58</c:v>
              </c:pt>
              <c:pt idx="4">
                <c:v>317</c:v>
              </c:pt>
            </c:numLit>
          </c:val>
        </c:ser>
        <c:overlap val="100"/>
      </c:pieChart>
    </c:plotArea>
  </c:chart>
  <c:spPr>
    <a:ln>
      <a:noFill/>
    </a:ln>
  </c:spPr>
</c:chartSpace>
</file>

<file path=word/charts/chart8.xml><?xml version="1.0" encoding="utf-8"?>
<c:chartSpace xmlns:c="http://schemas.openxmlformats.org/drawingml/2006/chart" xmlns:a="http://schemas.openxmlformats.org/drawingml/2006/main" xmlns:r="http://schemas.openxmlformats.org/officeDocument/2006/relationships">
  <c:chart>
    <c:autoTitleDeleted val="1"/>
    <c:legend>
      <c:legendPos val="r"/>
    </c:legend>
    <c:plotArea>
      <c:layout/>
      <c:pieChart>
        <c:varyColors val="1"/>
        <c:ser>
          <c:idx val="0"/>
          <c:order val="0"/>
          <c:tx>
            <c:strRef>
              <c:strCache>
                <c:ptCount val="1"/>
                <c:pt idx="0">
                  <c:v>Mennyire fontos Önnek, hogy egynyári virágos zöldfelület is legyen?</c:v>
                </c:pt>
              </c:strCache>
            </c:strRef>
          </c:tx>
          <c:dLbls>
            <c:showVal val="1"/>
            <c:showCatName val="0"/>
            <c:showLegendKey val="0"/>
            <c:showSerName val="0"/>
            <c:showPercent val="1"/>
            <c:showLeaderLines val="0"/>
            <c:showBubbleSize val="0"/>
          </c:dLbls>
          <c:cat>
            <c:strLit>
              <c:ptCount val="5"/>
              <c:pt idx="0">
                <c:v>1</c:v>
              </c:pt>
              <c:pt idx="1">
                <c:v>2</c:v>
              </c:pt>
              <c:pt idx="2">
                <c:v>3</c:v>
              </c:pt>
              <c:pt idx="3">
                <c:v>4</c:v>
              </c:pt>
              <c:pt idx="4">
                <c:v>5</c:v>
              </c:pt>
            </c:strLit>
          </c:cat>
          <c:val>
            <c:numLit>
              <c:ptCount val="5"/>
              <c:pt idx="0">
                <c:v>36</c:v>
              </c:pt>
              <c:pt idx="1">
                <c:v>35</c:v>
              </c:pt>
              <c:pt idx="2">
                <c:v>80</c:v>
              </c:pt>
              <c:pt idx="3">
                <c:v>92</c:v>
              </c:pt>
              <c:pt idx="4">
                <c:v>180</c:v>
              </c:pt>
            </c:numLit>
          </c:val>
        </c:ser>
        <c:overlap val="100"/>
      </c:pieChart>
    </c:plotArea>
  </c:chart>
  <c:spPr>
    <a:ln>
      <a:noFill/>
    </a:ln>
  </c:spPr>
</c:chartSpace>
</file>

<file path=word/charts/chart9.xml><?xml version="1.0" encoding="utf-8"?>
<c:chartSpace xmlns:c="http://schemas.openxmlformats.org/drawingml/2006/chart" xmlns:a="http://schemas.openxmlformats.org/drawingml/2006/main" xmlns:r="http://schemas.openxmlformats.org/officeDocument/2006/relationships">
  <c:chart>
    <c:autoTitleDeleted val="1"/>
    <c:legend>
      <c:legendPos val="r"/>
    </c:legend>
    <c:plotArea>
      <c:layout/>
      <c:pieChart>
        <c:varyColors val="1"/>
        <c:ser>
          <c:idx val="0"/>
          <c:order val="0"/>
          <c:tx>
            <c:strRef>
              <c:strCache>
                <c:ptCount val="1"/>
                <c:pt idx="0">
                  <c:v>Mennyire fontos Önnek, hogy minél több szabadon használható - nem díszítő növényekkel beültetett - fűfelület legyen? (pl. ahol a gyerekek szabadon szaladgálhatnak)</c:v>
                </c:pt>
              </c:strCache>
            </c:strRef>
          </c:tx>
          <c:dLbls>
            <c:showVal val="1"/>
            <c:showCatName val="0"/>
            <c:showLegendKey val="0"/>
            <c:showSerName val="0"/>
            <c:showPercent val="1"/>
            <c:showLeaderLines val="0"/>
            <c:showBubbleSize val="0"/>
          </c:dLbls>
          <c:cat>
            <c:strLit>
              <c:ptCount val="5"/>
              <c:pt idx="0">
                <c:v>1</c:v>
              </c:pt>
              <c:pt idx="1">
                <c:v>2</c:v>
              </c:pt>
              <c:pt idx="2">
                <c:v>3</c:v>
              </c:pt>
              <c:pt idx="3">
                <c:v>4</c:v>
              </c:pt>
              <c:pt idx="4">
                <c:v>5</c:v>
              </c:pt>
            </c:strLit>
          </c:cat>
          <c:val>
            <c:numLit>
              <c:ptCount val="5"/>
              <c:pt idx="0">
                <c:v>29</c:v>
              </c:pt>
              <c:pt idx="1">
                <c:v>33</c:v>
              </c:pt>
              <c:pt idx="2">
                <c:v>86</c:v>
              </c:pt>
              <c:pt idx="3">
                <c:v>99</c:v>
              </c:pt>
              <c:pt idx="4">
                <c:v>176</c:v>
              </c:pt>
            </c:numLit>
          </c:val>
        </c:ser>
        <c:overlap val="100"/>
      </c:pieChart>
    </c:plotArea>
  </c:chart>
  <c:spPr>
    <a:ln>
      <a:noFill/>
    </a:ln>
  </c:spPr>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2026-06-10T19:28:12+02:00</dcterms:created>
  <dcterms:modified xsi:type="dcterms:W3CDTF">2026-06-10T19:28:12+02:00</dcterms:modified>
</cp:coreProperties>
</file>

<file path=docProps/custom.xml><?xml version="1.0" encoding="utf-8"?>
<Properties xmlns="http://schemas.openxmlformats.org/officeDocument/2006/custom-properties" xmlns:vt="http://schemas.openxmlformats.org/officeDocument/2006/docPropsVTypes"/>
</file>