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  <Override PartName="/word/footer1.xml" ContentType="application/vnd.openxmlformats-officedocument.wordprocessingml.footer+xml"/>
  <Override PartName="/word/charts/chart1.xml" ContentType="application/vnd.openxmlformats-officedocument.drawingml.chart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/>
    <w:p/>
    <w:p/>
    <w:p/>
    <w:p/>
    <w:p>
      <w:pPr>
        <w:jc w:val="center"/>
      </w:pPr>
      <w:r>
        <w:rPr>
          <w:color w:val="000000"/>
          <w:sz w:val="64"/>
          <w:szCs w:val="64"/>
        </w:rPr>
        <w:t xml:space="preserve">Döntsön Ön: támogassuk a földi kémiai szúnyoggyérítést?</w:t>
      </w:r>
    </w:p>
    <w:p>
      <w:pPr>
        <w:jc w:val="center"/>
      </w:pPr>
      <w:r>
        <w:rPr>
          <w:sz w:val="24"/>
          <w:szCs w:val="24"/>
        </w:rPr>
        <w:t xml:space="preserve">(968 válaszadó)</w:t>
      </w:r>
    </w:p>
    <w:p>
      <w:r>
        <w:br w:type="page"/>
      </w:r>
    </w:p>
    <w:p>
      <w:pPr/>
      <w:r>
        <w:rPr>
          <w:sz w:val="36"/>
          <w:szCs w:val="36"/>
          <w:b w:val="1"/>
          <w:bCs w:val="1"/>
        </w:rPr>
        <w:t xml:space="preserve">Tartalomjegyzék</w:t>
      </w:r>
    </w:p>
    <w:p>
      <w:pPr>
        <w:tabs>
          <w:tab w:val="right" w:leader="dot" w:pos="9062"/>
        </w:tabs>
      </w:pPr>
      <w:r>
        <w:fldChar w:fldCharType="begin"/>
      </w:r>
      <w:r>
        <w:instrText xml:space="preserve">TOC \o 1-9 \h \z \u</w:instrText>
      </w:r>
      <w:r>
        <w:fldChar w:fldCharType="separate"/>
      </w:r>
      <w:hyperlink w:anchor="_Toc0" w:history="1">
        <w:r>
          <w:rPr>
            <w:sz w:val="24"/>
            <w:szCs w:val="24"/>
          </w:rPr>
          <w:t>Ön szerint Budafok-Tétény Önkormányzata támogassa az Országos Katasztrófavédelmi Főigazgatóság földi kémiai szúnyoggyérítését?</w:t>
        </w:r>
        <w:r>
          <w:tab/>
        </w:r>
        <w:r>
          <w:fldChar w:fldCharType="begin"/>
        </w:r>
        <w:r>
          <w:instrText xml:space="preserve">PAGEREF 0 \h</w:instrText>
        </w:r>
        <w:r>
          <w:fldChar w:fldCharType="end"/>
        </w:r>
      </w:hyperlink>
    </w:p>
    <w:p>
      <w:r>
        <w:fldChar w:fldCharType="end"/>
      </w:r>
    </w:p>
    <w:p>
      <w:pPr>
        <w:sectPr>
          <w:footerReference w:type="default" r:id="rId7"/>
          <w:pgSz w:orient="portrait" w:w="11905.511811023622" w:h="16837.79527559055"/>
          <w:pgMar w:top="1440" w:right="1440" w:bottom="1440" w:left="1440" w:header="720" w:footer="720" w:gutter="0"/>
          <w:cols w:num="1" w:space="720"/>
        </w:sectPr>
      </w:pPr>
    </w:p>
    <w:p>
      <w:pPr>
        <w:pStyle w:val="Heading1"/>
      </w:pPr>
      <w:bookmarkStart w:id="0" w:name="_Toc0"/>
      <w:r>
        <w:t>Ön szerint Budafok-Tétény Önkormányzata támogassa az Országos Katasztrófavédelmi Főigazgatóság földi kémiai szúnyoggyérítését?</w:t>
      </w:r>
      <w:bookmarkEnd w:id="0"/>
    </w:p>
    <w:tbl>
      <w:tblGrid>
        <w:gridCol w:w="9000" w:type="dxa"/>
        <w:gridCol w:w="900" w:type="dxa"/>
        <w:gridCol w:w="900" w:type="dxa"/>
      </w:tblGrid>
      <w:tblPr>
        <w:tblStyle w:val="StatTable"/>
      </w:tblP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  <w:b w:val="1"/>
                <w:bCs w:val="1"/>
              </w:rPr>
              <w:t xml:space="preserve">Válasz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  <w:b w:val="1"/>
                <w:bCs w:val="1"/>
              </w:rPr>
              <w:t xml:space="preserve">db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  <w:b w:val="1"/>
                <w:bCs w:val="1"/>
              </w:rPr>
              <w:t xml:space="preserve">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Igen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552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57%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Nem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396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40.9%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Nem tudom / Nem valós probléma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20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2.1%</w:t>
            </w:r>
          </w:p>
        </w:tc>
      </w:tr>
    </w:tbl>
    <w:p/>
    <w:p>
      <w:pPr>
        <w:jc w:val="right"/>
      </w:pPr>
      <w:r>
        <w:rPr>
          <w:sz w:val="24"/>
          <w:szCs w:val="24"/>
          <w:b w:val="1"/>
          <w:bCs w:val="1"/>
        </w:rPr>
        <w:t xml:space="preserve">968</w:t>
      </w:r>
      <w:r>
        <w:rPr>
          <w:sz w:val="24"/>
          <w:szCs w:val="24"/>
        </w:rPr>
        <w:t xml:space="preserve"> kitöltőtől összesen </w:t>
      </w:r>
      <w:r>
        <w:rPr>
          <w:sz w:val="24"/>
          <w:szCs w:val="24"/>
          <w:b w:val="1"/>
          <w:bCs w:val="1"/>
        </w:rPr>
        <w:t xml:space="preserve">968</w:t>
      </w:r>
      <w:r>
        <w:rPr>
          <w:sz w:val="24"/>
          <w:szCs w:val="24"/>
        </w:rPr>
        <w:t xml:space="preserve"> válasz</w:t>
      </w:r>
    </w:p>
    <w:p>
      <w:r>
        <w:drawing>
          <wp:inline>
            <wp:extent cx="6858000" cy="5943600"/>
            <wp:docPr id="8" name="Chart8"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sectPr>
      <w:pgSz w:orient="portrait" w:w="11905.511811023622" w:h="16837.79527559055"/>
      <w:pgMar w:top="600" w:right="600" w:bottom="600" w:left="60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center"/>
    </w:pPr>
    <w:r>
      <w:fldChar w:fldCharType="begin"/>
    </w:r>
    <w:r>
      <w:rPr/>
      <w:instrText xml:space="preserve">PAGE</w:instrText>
    </w:r>
    <w:r>
      <w:fldChar w:fldCharType="separate"/>
    </w:r>
    <w:r>
      <w:fldChar w:fldCharType="end"/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color w:val="000000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paragraph" w:styleId="Heading1">
    <w:link w:val="Heading1Char"/>
    <w:name w:val="heading 1"/>
    <w:rPr>
      <w:sz w:val="32"/>
      <w:szCs w:val="32"/>
    </w:rPr>
  </w:style>
  <w:style w:type="table" w:customStyle="1" w:styleId="StatTable">
    <w:name w:val="StatTable"/>
    <w:uiPriority w:val="99"/>
    <w:tblPr>
      <w:tblW w:w="0" w:type="auto"/>
      <w:tblLayout w:type="autofit"/>
      <w:tblCellMar>
        <w:top w:w="150" w:type="dxa"/>
        <w:left w:w="100" w:type="dxa"/>
        <w:right w:w="100" w:type="dxa"/>
        <w:bottom w:w="0" w:type="dxa"/>
      </w:tblCellMar>
      <w:tblBorders>
        <w:top w:val="single" w:sz="1" w:color="cccccc"/>
        <w:left w:val="single" w:sz="1" w:color="cccccc"/>
        <w:right w:val="single" w:sz="1" w:color="cccccc"/>
        <w:bottom w:val="single" w:sz="1" w:color="cccccc"/>
        <w:insideH w:val="single" w:sz="1" w:color="cccccc"/>
        <w:insideV w:val="single" w:sz="1" w:color="cccccc"/>
      </w:tblBorders>
    </w:tblPr>
  </w:style>
  <w:style w:type="table" w:customStyle="1" w:styleId="TextTable">
    <w:name w:val="TextTable"/>
    <w:uiPriority w:val="99"/>
    <w:tblPr>
      <w:tblW w:w="0" w:type="auto"/>
      <w:tblLayout w:type="autofit"/>
      <w:tblCellMar>
        <w:top w:w="150" w:type="dxa"/>
        <w:left w:w="50" w:type="dxa"/>
        <w:right w:w="50" w:type="dxa"/>
        <w:bottom w:w="0" w:type="dxa"/>
      </w:tblCellMar>
      <w:tblBorders>
        <w:top w:val="single" w:sz="1" w:color="cccccc"/>
        <w:left w:val="single" w:sz="1" w:color="cccccc"/>
        <w:right w:val="single" w:sz="1" w:color="cccccc"/>
        <w:bottom w:val="single" w:sz="1" w:color="cccccc"/>
        <w:insideH w:val="single" w:sz="1" w:color="cccccc"/>
        <w:insideV w:val="single" w:sz="1" w:color="cccccc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footer" Target="footer1.xml"/><Relationship Id="rId8" Type="http://schemas.openxmlformats.org/officeDocument/2006/relationships/chart" Target="charts/chart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chart>
    <c:autoTitleDeleted val="1"/>
    <c:legend>
      <c:legendPos val="r"/>
    </c:legend>
    <c:plotArea>
      <c:layout/>
      <c:pieChart>
        <c:varyColors val="1"/>
        <c:ser>
          <c:idx val="0"/>
          <c:order val="0"/>
          <c:tx>
            <c:strRef>
              <c:strCache>
                <c:ptCount val="1"/>
                <c:pt idx="0">
                  <c:v>Ön szerint Budafok-Tétény Önkormányzata támogassa az Országos Katasztrófavédelmi Főigazgatóság földi kémiai szúnyoggyérítését?</c:v>
                </c:pt>
              </c:strCache>
            </c:strRef>
          </c:tx>
          <c:dLbls>
            <c:showVal val="1"/>
            <c:showCatName val="0"/>
            <c:showLegendKey val="0"/>
            <c:showSerName val="0"/>
            <c:showPercent val="1"/>
            <c:showLeaderLines val="0"/>
            <c:showBubbleSize val="0"/>
          </c:dLbls>
          <c:cat>
            <c:strLit>
              <c:ptCount val="3"/>
              <c:pt idx="0">
                <c:v>Igen</c:v>
              </c:pt>
              <c:pt idx="1">
                <c:v>Nem</c:v>
              </c:pt>
              <c:pt idx="2">
                <c:v>Nem tudom / Nem valós probléma</c:v>
              </c:pt>
            </c:strLit>
          </c:cat>
          <c:val>
            <c:numLit>
              <c:ptCount val="3"/>
              <c:pt idx="0">
                <c:v>552</c:v>
              </c:pt>
              <c:pt idx="1">
                <c:v>396</c:v>
              </c:pt>
              <c:pt idx="2">
                <c:v>20</c:v>
              </c:pt>
            </c:numLit>
          </c:val>
        </c:ser>
        <c:overlap val="100"/>
      </c:pieChart>
    </c:plotArea>
  </c:chart>
  <c:spPr>
    <a:ln>
      <a:noFill/>
    </a:ln>
  </c:spPr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2026-06-10T19:29:13+02:00</dcterms:created>
  <dcterms:modified xsi:type="dcterms:W3CDTF">2026-06-10T19:29:13+02:00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